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58" w:rsidRPr="00A82FE6" w:rsidRDefault="00D34558" w:rsidP="00D34558">
      <w:pPr>
        <w:bidi/>
        <w:rPr>
          <w:rFonts w:cs="Traditional Arabic"/>
          <w:b/>
          <w:bCs/>
          <w:color w:val="4BACC6"/>
          <w:sz w:val="28"/>
          <w:szCs w:val="28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                                </w:t>
      </w:r>
      <w:r w:rsidRPr="00A82FE6">
        <w:rPr>
          <w:rFonts w:cs="Traditional Arabic" w:hint="cs"/>
          <w:b/>
          <w:bCs/>
          <w:color w:val="4BACC6"/>
          <w:sz w:val="28"/>
          <w:szCs w:val="28"/>
          <w:rtl/>
          <w:lang w:bidi="ar-MA"/>
        </w:rPr>
        <w:t>الجمهورية الجزائرية الديمقراطية الشعبية</w:t>
      </w:r>
    </w:p>
    <w:p w:rsidR="00D34558" w:rsidRDefault="00D34558" w:rsidP="00D34558">
      <w:pPr>
        <w:bidi/>
        <w:rPr>
          <w:rFonts w:cs="Traditional Arabic"/>
          <w:b/>
          <w:bCs/>
          <w:color w:val="4BACC6"/>
          <w:sz w:val="28"/>
          <w:szCs w:val="28"/>
          <w:rtl/>
          <w:lang w:bidi="ar-MA"/>
        </w:rPr>
      </w:pPr>
      <w:r w:rsidRPr="00A82FE6">
        <w:rPr>
          <w:rFonts w:cs="Traditional Arabic" w:hint="cs"/>
          <w:b/>
          <w:bCs/>
          <w:color w:val="4BACC6"/>
          <w:sz w:val="28"/>
          <w:szCs w:val="28"/>
          <w:rtl/>
          <w:lang w:bidi="ar-MA"/>
        </w:rPr>
        <w:t xml:space="preserve">                           </w:t>
      </w:r>
      <w:r>
        <w:rPr>
          <w:rFonts w:cs="Traditional Arabic" w:hint="cs"/>
          <w:b/>
          <w:bCs/>
          <w:color w:val="4BACC6"/>
          <w:sz w:val="28"/>
          <w:szCs w:val="28"/>
          <w:rtl/>
          <w:lang w:bidi="ar-MA"/>
        </w:rPr>
        <w:t xml:space="preserve">   </w:t>
      </w:r>
      <w:r w:rsidRPr="00A82FE6">
        <w:rPr>
          <w:rFonts w:cs="Traditional Arabic" w:hint="cs"/>
          <w:b/>
          <w:bCs/>
          <w:color w:val="4BACC6"/>
          <w:sz w:val="28"/>
          <w:szCs w:val="28"/>
          <w:rtl/>
          <w:lang w:bidi="ar-MA"/>
        </w:rPr>
        <w:t xml:space="preserve"> </w:t>
      </w:r>
      <w:r>
        <w:rPr>
          <w:rFonts w:cs="Traditional Arabic" w:hint="cs"/>
          <w:b/>
          <w:bCs/>
          <w:color w:val="4BACC6"/>
          <w:sz w:val="28"/>
          <w:szCs w:val="28"/>
          <w:rtl/>
          <w:lang w:bidi="ar-MA"/>
        </w:rPr>
        <w:t xml:space="preserve">       </w:t>
      </w:r>
      <w:r w:rsidRPr="00A82FE6">
        <w:rPr>
          <w:rFonts w:cs="Traditional Arabic" w:hint="cs"/>
          <w:b/>
          <w:bCs/>
          <w:color w:val="4BACC6"/>
          <w:sz w:val="28"/>
          <w:szCs w:val="28"/>
          <w:rtl/>
          <w:lang w:bidi="ar-MA"/>
        </w:rPr>
        <w:t xml:space="preserve">     جامعة الإخوة منتوري- قسنطينة</w:t>
      </w:r>
    </w:p>
    <w:p w:rsidR="00D34558" w:rsidRDefault="00D34558" w:rsidP="00D34558">
      <w:pPr>
        <w:pStyle w:val="Paragraphedeliste"/>
        <w:bidi/>
        <w:spacing w:line="240" w:lineRule="auto"/>
        <w:rPr>
          <w:rFonts w:cs="Traditional Arabic"/>
          <w:b/>
          <w:bCs/>
          <w:color w:val="4BACC6"/>
          <w:sz w:val="28"/>
          <w:szCs w:val="28"/>
          <w:rtl/>
          <w:lang w:bidi="ar-MA"/>
        </w:rPr>
      </w:pPr>
      <w:r>
        <w:rPr>
          <w:rFonts w:cs="Traditional Arabic"/>
          <w:b/>
          <w:bCs/>
          <w:color w:val="4BACC6"/>
          <w:sz w:val="28"/>
          <w:szCs w:val="28"/>
          <w:lang w:bidi="ar-MA"/>
        </w:rPr>
        <w:t xml:space="preserve">       </w:t>
      </w:r>
      <w:r>
        <w:rPr>
          <w:rFonts w:cs="Traditional Arabic" w:hint="cs"/>
          <w:b/>
          <w:bCs/>
          <w:color w:val="4BACC6"/>
          <w:sz w:val="28"/>
          <w:szCs w:val="28"/>
          <w:rtl/>
          <w:lang w:bidi="ar-MA"/>
        </w:rPr>
        <w:t xml:space="preserve">                            </w:t>
      </w:r>
      <w:r>
        <w:rPr>
          <w:rFonts w:cs="Traditional Arabic"/>
          <w:b/>
          <w:bCs/>
          <w:color w:val="4BACC6"/>
          <w:sz w:val="28"/>
          <w:szCs w:val="28"/>
          <w:lang w:bidi="ar-MA"/>
        </w:rPr>
        <w:t xml:space="preserve">    </w:t>
      </w:r>
      <w:r>
        <w:rPr>
          <w:rFonts w:cs="Traditional Arabic" w:hint="cs"/>
          <w:b/>
          <w:bCs/>
          <w:color w:val="4BACC6"/>
          <w:sz w:val="28"/>
          <w:szCs w:val="28"/>
          <w:rtl/>
          <w:lang w:bidi="ar-MA"/>
        </w:rPr>
        <w:t>-</w:t>
      </w:r>
      <w:r>
        <w:rPr>
          <w:rFonts w:cs="Traditional Arabic"/>
          <w:b/>
          <w:bCs/>
          <w:color w:val="4BACC6"/>
          <w:sz w:val="28"/>
          <w:szCs w:val="28"/>
          <w:lang w:bidi="ar-MA"/>
        </w:rPr>
        <w:t xml:space="preserve">   </w:t>
      </w:r>
      <w:r w:rsidRPr="00A82FE6">
        <w:rPr>
          <w:rFonts w:cs="Traditional Arabic" w:hint="cs"/>
          <w:b/>
          <w:bCs/>
          <w:color w:val="4BACC6"/>
          <w:sz w:val="28"/>
          <w:szCs w:val="28"/>
          <w:rtl/>
          <w:lang w:bidi="ar-MA"/>
        </w:rPr>
        <w:t xml:space="preserve">قسم الترجمة   - </w:t>
      </w:r>
    </w:p>
    <w:p w:rsidR="00D34558" w:rsidRPr="00DC1418" w:rsidRDefault="00D34558" w:rsidP="00D34558">
      <w:pPr>
        <w:pStyle w:val="Paragraphedeliste"/>
        <w:bidi/>
        <w:spacing w:line="240" w:lineRule="auto"/>
        <w:ind w:left="0"/>
        <w:rPr>
          <w:rFonts w:cs="Traditional Arabic"/>
          <w:b/>
          <w:bCs/>
          <w:color w:val="4BACC6"/>
          <w:sz w:val="28"/>
          <w:szCs w:val="28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  <w:lang w:bidi="ar-MA"/>
        </w:rPr>
        <w:t xml:space="preserve">الأستاذة: </w:t>
      </w:r>
      <w:r w:rsidRPr="00BF14ED">
        <w:rPr>
          <w:rFonts w:cs="Traditional Arabic" w:hint="cs"/>
          <w:b/>
          <w:bCs/>
          <w:color w:val="000000"/>
          <w:sz w:val="32"/>
          <w:szCs w:val="32"/>
          <w:rtl/>
          <w:lang w:bidi="ar-MA"/>
        </w:rPr>
        <w:t>د. فيروز شني</w:t>
      </w:r>
    </w:p>
    <w:p w:rsidR="00D34558" w:rsidRDefault="00D34558" w:rsidP="00D34558">
      <w:pPr>
        <w:bidi/>
        <w:rPr>
          <w:rFonts w:cs="Traditional Arabic"/>
          <w:color w:val="000000"/>
          <w:sz w:val="32"/>
          <w:szCs w:val="32"/>
          <w:lang w:bidi="ar-MA"/>
        </w:rPr>
      </w:pPr>
      <w:r>
        <w:rPr>
          <w:rFonts w:cs="Traditional Arabic" w:hint="cs"/>
          <w:color w:val="000000"/>
          <w:sz w:val="32"/>
          <w:szCs w:val="32"/>
          <w:rtl/>
          <w:lang w:bidi="ar-MA"/>
        </w:rPr>
        <w:t>المستوى: السنة الثانية ليسانس</w:t>
      </w:r>
      <w:r w:rsidRPr="00BF14ED">
        <w:rPr>
          <w:rFonts w:cs="Traditional Arabic"/>
          <w:b/>
          <w:bCs/>
          <w:color w:val="000000"/>
          <w:sz w:val="28"/>
          <w:szCs w:val="28"/>
          <w:lang w:bidi="ar-MA"/>
        </w:rPr>
        <w:t>MCIL</w:t>
      </w:r>
      <w:r>
        <w:rPr>
          <w:rFonts w:cs="Traditional Arabic"/>
          <w:b/>
          <w:bCs/>
          <w:color w:val="000000"/>
          <w:sz w:val="28"/>
          <w:szCs w:val="28"/>
          <w:lang w:bidi="ar-MA"/>
        </w:rPr>
        <w:t>2</w:t>
      </w:r>
    </w:p>
    <w:p w:rsidR="00D34558" w:rsidRPr="00BF14ED" w:rsidRDefault="00D34558" w:rsidP="00D34558">
      <w:pPr>
        <w:bidi/>
        <w:rPr>
          <w:rFonts w:cs="Traditional Arabic"/>
          <w:color w:val="D99594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المقياس: </w:t>
      </w:r>
      <w:r w:rsidRPr="00BF14ED">
        <w:rPr>
          <w:rFonts w:cs="Traditional Arabic" w:hint="cs"/>
          <w:color w:val="984806"/>
          <w:sz w:val="32"/>
          <w:szCs w:val="32"/>
          <w:rtl/>
          <w:lang w:bidi="ar-MA"/>
        </w:rPr>
        <w:t>علم الترجمة</w:t>
      </w: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</w:p>
    <w:p w:rsidR="00D34558" w:rsidRDefault="00D34558" w:rsidP="003A600B">
      <w:pPr>
        <w:bidi/>
        <w:spacing w:line="276" w:lineRule="auto"/>
        <w:rPr>
          <w:rFonts w:cs="Traditional Arabic"/>
          <w:color w:val="984806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الموضوع: </w:t>
      </w:r>
      <w:r w:rsidRPr="0073441B">
        <w:rPr>
          <w:rFonts w:cs="Traditional Arabic" w:hint="cs"/>
          <w:b/>
          <w:bCs/>
          <w:color w:val="984806"/>
          <w:sz w:val="32"/>
          <w:szCs w:val="32"/>
          <w:rtl/>
          <w:lang w:bidi="ar-MA"/>
        </w:rPr>
        <w:t>التكافؤ عند علماء الترجمة</w:t>
      </w:r>
      <w:r>
        <w:rPr>
          <w:rFonts w:cs="Traditional Arabic" w:hint="cs"/>
          <w:color w:val="984806"/>
          <w:sz w:val="32"/>
          <w:szCs w:val="32"/>
          <w:rtl/>
          <w:lang w:bidi="ar-MA"/>
        </w:rPr>
        <w:t xml:space="preserve"> </w:t>
      </w:r>
      <w:r w:rsidR="003A600B" w:rsidRPr="003A600B">
        <w:rPr>
          <w:rFonts w:cs="Traditional Arabic"/>
          <w:b/>
          <w:bCs/>
          <w:color w:val="984806"/>
          <w:sz w:val="28"/>
          <w:szCs w:val="28"/>
          <w:lang w:bidi="ar-MA"/>
        </w:rPr>
        <w:t>2</w:t>
      </w:r>
      <w:r>
        <w:rPr>
          <w:rFonts w:cs="Traditional Arabic" w:hint="cs"/>
          <w:color w:val="984806"/>
          <w:sz w:val="32"/>
          <w:szCs w:val="32"/>
          <w:rtl/>
          <w:lang w:bidi="ar-MA"/>
        </w:rPr>
        <w:t xml:space="preserve"> </w:t>
      </w:r>
    </w:p>
    <w:p w:rsidR="00D34558" w:rsidRPr="00C33D90" w:rsidRDefault="00892885" w:rsidP="00892885">
      <w:pPr>
        <w:pStyle w:val="Paragraphedeliste"/>
        <w:numPr>
          <w:ilvl w:val="0"/>
          <w:numId w:val="2"/>
        </w:numPr>
        <w:bidi/>
        <w:spacing w:line="276" w:lineRule="auto"/>
        <w:rPr>
          <w:rFonts w:cs="Traditional Arabic"/>
          <w:b/>
          <w:bCs/>
          <w:color w:val="984806" w:themeColor="accent6" w:themeShade="80"/>
          <w:sz w:val="28"/>
          <w:szCs w:val="28"/>
          <w:lang w:bidi="ar-MA"/>
        </w:rPr>
      </w:pPr>
      <w:r>
        <w:rPr>
          <w:rFonts w:cs="Traditional Arabic" w:hint="cs"/>
          <w:b/>
          <w:bCs/>
          <w:color w:val="984806" w:themeColor="accent6" w:themeShade="80"/>
          <w:sz w:val="28"/>
          <w:szCs w:val="28"/>
          <w:rtl/>
          <w:lang w:bidi="ar-MA"/>
        </w:rPr>
        <w:t>كاتفورد</w:t>
      </w:r>
      <w:r w:rsidR="00D34558" w:rsidRPr="00C33D90">
        <w:rPr>
          <w:rFonts w:cs="Traditional Arabic" w:hint="cs"/>
          <w:b/>
          <w:bCs/>
          <w:color w:val="984806" w:themeColor="accent6" w:themeShade="80"/>
          <w:sz w:val="28"/>
          <w:szCs w:val="28"/>
          <w:rtl/>
          <w:lang w:bidi="ar-MA"/>
        </w:rPr>
        <w:t xml:space="preserve"> </w:t>
      </w:r>
      <w:r w:rsidR="00D34558" w:rsidRPr="00C33D90">
        <w:rPr>
          <w:rFonts w:cs="Traditional Arabic"/>
          <w:b/>
          <w:bCs/>
          <w:color w:val="984806" w:themeColor="accent6" w:themeShade="80"/>
          <w:sz w:val="28"/>
          <w:szCs w:val="28"/>
          <w:rtl/>
          <w:lang w:bidi="ar-MA"/>
        </w:rPr>
        <w:t>–</w:t>
      </w:r>
      <w:r w:rsidR="00D34558" w:rsidRPr="00C33D90">
        <w:rPr>
          <w:rFonts w:cs="Traditional Arabic" w:hint="cs"/>
          <w:b/>
          <w:bCs/>
          <w:color w:val="984806" w:themeColor="accent6" w:themeShade="80"/>
          <w:sz w:val="28"/>
          <w:szCs w:val="28"/>
          <w:rtl/>
          <w:lang w:bidi="ar-MA"/>
        </w:rPr>
        <w:t xml:space="preserve"> </w:t>
      </w:r>
      <w:r>
        <w:rPr>
          <w:rFonts w:cs="Traditional Arabic" w:hint="cs"/>
          <w:b/>
          <w:bCs/>
          <w:color w:val="984806" w:themeColor="accent6" w:themeShade="80"/>
          <w:sz w:val="28"/>
          <w:szCs w:val="28"/>
          <w:rtl/>
          <w:lang w:bidi="ar-MA"/>
        </w:rPr>
        <w:t>كولر</w:t>
      </w:r>
      <w:r w:rsidR="00D34558" w:rsidRPr="00C33D90">
        <w:rPr>
          <w:rFonts w:cs="Traditional Arabic" w:hint="cs"/>
          <w:b/>
          <w:bCs/>
          <w:color w:val="984806" w:themeColor="accent6" w:themeShade="80"/>
          <w:sz w:val="28"/>
          <w:szCs w:val="28"/>
          <w:rtl/>
          <w:lang w:bidi="ar-MA"/>
        </w:rPr>
        <w:t xml:space="preserve"> </w:t>
      </w:r>
      <w:r>
        <w:rPr>
          <w:rFonts w:cs="Traditional Arabic"/>
          <w:b/>
          <w:bCs/>
          <w:color w:val="984806" w:themeColor="accent6" w:themeShade="80"/>
          <w:sz w:val="28"/>
          <w:szCs w:val="28"/>
          <w:rtl/>
          <w:lang w:bidi="ar-MA"/>
        </w:rPr>
        <w:t>–</w:t>
      </w:r>
      <w:r w:rsidR="00D34558" w:rsidRPr="00C33D90">
        <w:rPr>
          <w:rFonts w:cs="Traditional Arabic" w:hint="cs"/>
          <w:b/>
          <w:bCs/>
          <w:color w:val="984806" w:themeColor="accent6" w:themeShade="80"/>
          <w:sz w:val="28"/>
          <w:szCs w:val="28"/>
          <w:rtl/>
          <w:lang w:bidi="ar-MA"/>
        </w:rPr>
        <w:t xml:space="preserve"> </w:t>
      </w:r>
      <w:r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>هاوس -</w:t>
      </w:r>
      <w:r w:rsidR="00CB620C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 xml:space="preserve"> </w:t>
      </w:r>
      <w:r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>بيكر</w:t>
      </w:r>
    </w:p>
    <w:p w:rsidR="00D34558" w:rsidRPr="00E95C09" w:rsidRDefault="00D34558" w:rsidP="00D34558">
      <w:pPr>
        <w:bidi/>
        <w:spacing w:line="276" w:lineRule="auto"/>
        <w:rPr>
          <w:rFonts w:cs="Traditional Arabic"/>
          <w:color w:val="E36C0A" w:themeColor="accent6" w:themeShade="BF"/>
          <w:sz w:val="32"/>
          <w:szCs w:val="32"/>
          <w:lang w:bidi="ar-MA"/>
        </w:rPr>
      </w:pPr>
    </w:p>
    <w:p w:rsidR="00D34558" w:rsidRPr="007B2B97" w:rsidRDefault="00D34558" w:rsidP="00D34558">
      <w:pPr>
        <w:bidi/>
        <w:spacing w:line="276" w:lineRule="auto"/>
        <w:rPr>
          <w:rFonts w:cs="Traditional Arabic"/>
          <w:color w:val="984806"/>
          <w:sz w:val="32"/>
          <w:szCs w:val="32"/>
          <w:lang w:bidi="ar-MA"/>
        </w:rPr>
      </w:pPr>
    </w:p>
    <w:p w:rsidR="00336987" w:rsidRPr="00336987" w:rsidRDefault="00336987" w:rsidP="00336987">
      <w:pPr>
        <w:pStyle w:val="Paragraphedeliste"/>
        <w:numPr>
          <w:ilvl w:val="0"/>
          <w:numId w:val="3"/>
        </w:numPr>
        <w:bidi/>
        <w:spacing w:line="276" w:lineRule="auto"/>
        <w:rPr>
          <w:rFonts w:cs="Traditional Arabic"/>
          <w:b/>
          <w:bCs/>
          <w:color w:val="984806" w:themeColor="accent6" w:themeShade="80"/>
          <w:sz w:val="32"/>
          <w:szCs w:val="32"/>
          <w:rtl/>
          <w:lang w:bidi="ar-MA"/>
        </w:rPr>
      </w:pPr>
      <w:r w:rsidRPr="00336987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 xml:space="preserve"> التكافؤ عند كاتفورد </w:t>
      </w:r>
      <w:r w:rsidRPr="00336987">
        <w:rPr>
          <w:rFonts w:cs="Traditional Arabic"/>
          <w:b/>
          <w:bCs/>
          <w:color w:val="984806" w:themeColor="accent6" w:themeShade="80"/>
          <w:sz w:val="32"/>
          <w:szCs w:val="32"/>
          <w:lang w:bidi="ar-MA"/>
        </w:rPr>
        <w:t>(Catford)</w:t>
      </w:r>
      <w:r w:rsidRPr="00336987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 xml:space="preserve">: </w:t>
      </w:r>
    </w:p>
    <w:p w:rsidR="00336987" w:rsidRPr="00336987" w:rsidRDefault="000A5DE1" w:rsidP="001D79F7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  </w:t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 xml:space="preserve">أسس </w:t>
      </w:r>
      <w:r w:rsidR="00336987" w:rsidRPr="00731A2D">
        <w:rPr>
          <w:rFonts w:cs="Traditional Arabic" w:hint="cs"/>
          <w:b/>
          <w:bCs/>
          <w:sz w:val="32"/>
          <w:szCs w:val="32"/>
          <w:rtl/>
          <w:lang w:bidi="ar-MA"/>
        </w:rPr>
        <w:t>كاتفورد</w:t>
      </w:r>
      <w:r w:rsidR="0024500C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>مقاربته</w:t>
      </w:r>
      <w:r w:rsidR="00336987" w:rsidRPr="00336987">
        <w:rPr>
          <w:rFonts w:cs="Traditional Arabic" w:hint="cs"/>
          <w:sz w:val="32"/>
          <w:szCs w:val="32"/>
          <w:lang w:bidi="ar-MA"/>
        </w:rPr>
        <w:t xml:space="preserve"> </w:t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 xml:space="preserve">للترجمة على نظرة لسانية بحتة وميكانيكية فهو يرى من خلال كتابه </w:t>
      </w:r>
      <w:r w:rsidR="00336987" w:rsidRPr="001D79F7">
        <w:rPr>
          <w:rFonts w:cs="Traditional Arabic" w:hint="cs"/>
          <w:sz w:val="28"/>
          <w:szCs w:val="28"/>
          <w:rtl/>
          <w:lang w:bidi="ar-MA"/>
        </w:rPr>
        <w:t>"</w:t>
      </w:r>
      <w:r w:rsidR="00336987" w:rsidRPr="001D79F7">
        <w:rPr>
          <w:rFonts w:cs="Traditional Arabic"/>
          <w:sz w:val="28"/>
          <w:szCs w:val="28"/>
          <w:lang w:bidi="ar-MA"/>
        </w:rPr>
        <w:t> A</w:t>
      </w:r>
      <w:r w:rsidR="001D79F7">
        <w:rPr>
          <w:rFonts w:cs="Traditional Arabic" w:hint="cs"/>
          <w:sz w:val="28"/>
          <w:szCs w:val="28"/>
          <w:rtl/>
          <w:lang w:bidi="ar-MA"/>
        </w:rPr>
        <w:t xml:space="preserve"> </w:t>
      </w:r>
      <w:r w:rsidR="00336987" w:rsidRPr="001D79F7">
        <w:rPr>
          <w:rFonts w:cs="Traditional Arabic"/>
          <w:sz w:val="28"/>
          <w:szCs w:val="28"/>
          <w:lang w:bidi="ar-MA"/>
        </w:rPr>
        <w:t>Linguistic Theory of Translation 1965 </w:t>
      </w:r>
      <w:r w:rsidR="00336987" w:rsidRPr="001D79F7">
        <w:rPr>
          <w:rFonts w:cs="Traditional Arabic" w:hint="cs"/>
          <w:sz w:val="28"/>
          <w:szCs w:val="28"/>
          <w:rtl/>
          <w:lang w:bidi="ar-MA"/>
        </w:rPr>
        <w:t>"</w:t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 xml:space="preserve"> أن الترجمة عملية تتم بين لغتين أو هي مسار يتم فيه تعويض نص لغة الأصل بنص لغة الهدف كما أنه ينظر </w:t>
      </w:r>
      <w:r w:rsidR="00892B30" w:rsidRPr="00336987">
        <w:rPr>
          <w:rFonts w:cs="Traditional Arabic" w:hint="cs"/>
          <w:sz w:val="32"/>
          <w:szCs w:val="32"/>
          <w:rtl/>
          <w:lang w:bidi="ar-MA"/>
        </w:rPr>
        <w:t>إلى</w:t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 xml:space="preserve"> التكافؤ على أنه أساس الممارسة الترجمية والاهتمام الجوهري لنظرية الترجمة.</w:t>
      </w:r>
    </w:p>
    <w:p w:rsidR="00336987" w:rsidRDefault="00336987" w:rsidP="00336987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 w:rsidRPr="00336987">
        <w:rPr>
          <w:rFonts w:cs="Traditional Arabic" w:hint="cs"/>
          <w:sz w:val="32"/>
          <w:szCs w:val="32"/>
          <w:rtl/>
          <w:lang w:bidi="ar-MA"/>
        </w:rPr>
        <w:t xml:space="preserve">يقسم </w:t>
      </w:r>
      <w:r w:rsidRPr="00892B30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كاتفورد </w:t>
      </w:r>
      <w:r w:rsidRPr="00336987">
        <w:rPr>
          <w:rFonts w:cs="Traditional Arabic" w:hint="cs"/>
          <w:sz w:val="32"/>
          <w:szCs w:val="32"/>
          <w:rtl/>
          <w:lang w:bidi="ar-MA"/>
        </w:rPr>
        <w:t xml:space="preserve">التكافؤ </w:t>
      </w:r>
      <w:r w:rsidR="00892B30" w:rsidRPr="00336987">
        <w:rPr>
          <w:rFonts w:cs="Traditional Arabic" w:hint="cs"/>
          <w:sz w:val="32"/>
          <w:szCs w:val="32"/>
          <w:rtl/>
          <w:lang w:bidi="ar-MA"/>
        </w:rPr>
        <w:t>إلى</w:t>
      </w:r>
      <w:r w:rsidRPr="00336987">
        <w:rPr>
          <w:rFonts w:cs="Traditional Arabic" w:hint="cs"/>
          <w:sz w:val="32"/>
          <w:szCs w:val="32"/>
          <w:rtl/>
          <w:lang w:bidi="ar-MA"/>
        </w:rPr>
        <w:t xml:space="preserve"> قسمين:</w:t>
      </w:r>
    </w:p>
    <w:p w:rsidR="00336987" w:rsidRPr="00441749" w:rsidRDefault="00336987" w:rsidP="00441749">
      <w:pPr>
        <w:pStyle w:val="Paragraphedeliste"/>
        <w:numPr>
          <w:ilvl w:val="0"/>
          <w:numId w:val="4"/>
        </w:numPr>
        <w:bidi/>
        <w:spacing w:line="276" w:lineRule="auto"/>
        <w:rPr>
          <w:rFonts w:cs="Traditional Arabic"/>
          <w:color w:val="984806" w:themeColor="accent6" w:themeShade="80"/>
          <w:sz w:val="32"/>
          <w:szCs w:val="32"/>
          <w:rtl/>
          <w:lang w:bidi="ar-MA"/>
        </w:rPr>
      </w:pPr>
      <w:r w:rsidRPr="00441749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 xml:space="preserve">التقابل الشكلي </w:t>
      </w:r>
      <w:r w:rsidRPr="00441749">
        <w:rPr>
          <w:rFonts w:cs="Traditional Arabic"/>
          <w:color w:val="984806" w:themeColor="accent6" w:themeShade="80"/>
          <w:sz w:val="28"/>
          <w:szCs w:val="28"/>
          <w:lang w:bidi="ar-MA"/>
        </w:rPr>
        <w:t>Correspondance formelle)</w:t>
      </w:r>
      <w:r w:rsidRPr="00441749">
        <w:rPr>
          <w:rFonts w:cs="Traditional Arabic" w:hint="cs"/>
          <w:color w:val="984806" w:themeColor="accent6" w:themeShade="80"/>
          <w:sz w:val="28"/>
          <w:szCs w:val="28"/>
          <w:rtl/>
          <w:lang w:bidi="ar-MA"/>
        </w:rPr>
        <w:t xml:space="preserve"> </w:t>
      </w:r>
      <w:r w:rsidR="00441749" w:rsidRPr="00441749">
        <w:rPr>
          <w:rFonts w:cs="Traditional Arabic"/>
          <w:color w:val="984806" w:themeColor="accent6" w:themeShade="80"/>
          <w:sz w:val="28"/>
          <w:szCs w:val="28"/>
          <w:lang w:bidi="ar-MA"/>
        </w:rPr>
        <w:t>(</w:t>
      </w:r>
      <w:r w:rsidR="00441749" w:rsidRPr="00441749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>:</w:t>
      </w:r>
    </w:p>
    <w:p w:rsidR="00FF7551" w:rsidRDefault="003E620F" w:rsidP="003E620F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 </w:t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 xml:space="preserve">يعرفه </w:t>
      </w:r>
      <w:r w:rsidR="00336987" w:rsidRPr="003E620F">
        <w:rPr>
          <w:rFonts w:cs="Traditional Arabic" w:hint="cs"/>
          <w:b/>
          <w:bCs/>
          <w:sz w:val="32"/>
          <w:szCs w:val="32"/>
          <w:rtl/>
          <w:lang w:bidi="ar-MA"/>
        </w:rPr>
        <w:t>كاتفورد</w:t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 xml:space="preserve"> أنه </w:t>
      </w:r>
      <w:r>
        <w:rPr>
          <w:rFonts w:cs="Traditional Arabic" w:hint="cs"/>
          <w:sz w:val="32"/>
          <w:szCs w:val="32"/>
          <w:rtl/>
          <w:lang w:bidi="ar-MA"/>
        </w:rPr>
        <w:t>«</w:t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 xml:space="preserve"> أية فئة من لغة الهدف (وحدة، بنية لغوية أو عنصر منها) </w:t>
      </w:r>
      <w:r>
        <w:rPr>
          <w:rFonts w:cs="Traditional Arabic" w:hint="cs"/>
          <w:sz w:val="32"/>
          <w:szCs w:val="32"/>
          <w:rtl/>
          <w:lang w:bidi="ar-MA"/>
        </w:rPr>
        <w:t>و</w:t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>التي يمكن إنتاجها لتحتل نفس المكانة في اللغة الأصل</w:t>
      </w:r>
      <w:r>
        <w:rPr>
          <w:rFonts w:cs="Traditional Arabic" w:hint="cs"/>
          <w:sz w:val="32"/>
          <w:szCs w:val="32"/>
          <w:rtl/>
          <w:lang w:bidi="ar-MA"/>
        </w:rPr>
        <w:t xml:space="preserve"> »</w:t>
      </w:r>
      <w:r w:rsidR="00336987" w:rsidRPr="00336987">
        <w:rPr>
          <w:rStyle w:val="Appelnotedebasdep"/>
          <w:rFonts w:cs="Traditional Arabic"/>
          <w:sz w:val="32"/>
          <w:szCs w:val="32"/>
          <w:rtl/>
          <w:lang w:bidi="ar-MA"/>
        </w:rPr>
        <w:footnoteReference w:id="2"/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 xml:space="preserve">. </w:t>
      </w:r>
      <w:r w:rsidR="00FF7551">
        <w:rPr>
          <w:rFonts w:cs="Traditional Arabic" w:hint="cs"/>
          <w:sz w:val="32"/>
          <w:szCs w:val="32"/>
          <w:rtl/>
          <w:lang w:bidi="ar-MA"/>
        </w:rPr>
        <w:t>و</w:t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>هذا يعني أن جزءا من اللغة الهدف يلعب نفس الدور في النظام اللغوي الأصل.</w:t>
      </w:r>
    </w:p>
    <w:p w:rsidR="00336987" w:rsidRDefault="00336987" w:rsidP="00FF7551">
      <w:pPr>
        <w:pStyle w:val="Paragraphedeliste"/>
        <w:numPr>
          <w:ilvl w:val="0"/>
          <w:numId w:val="5"/>
        </w:numPr>
        <w:bidi/>
        <w:spacing w:line="276" w:lineRule="auto"/>
        <w:rPr>
          <w:rFonts w:cs="Traditional Arabic"/>
          <w:sz w:val="32"/>
          <w:szCs w:val="32"/>
          <w:lang w:bidi="ar-MA"/>
        </w:rPr>
      </w:pPr>
      <w:r w:rsidRPr="00FF7551">
        <w:rPr>
          <w:rFonts w:cs="Traditional Arabic" w:hint="cs"/>
          <w:sz w:val="32"/>
          <w:szCs w:val="32"/>
          <w:rtl/>
          <w:lang w:bidi="ar-MA"/>
        </w:rPr>
        <w:t xml:space="preserve">تجدر الإشارة </w:t>
      </w:r>
      <w:r w:rsidR="00FF7551" w:rsidRPr="00FF7551">
        <w:rPr>
          <w:rFonts w:cs="Traditional Arabic" w:hint="cs"/>
          <w:sz w:val="32"/>
          <w:szCs w:val="32"/>
          <w:rtl/>
          <w:lang w:bidi="ar-MA"/>
        </w:rPr>
        <w:t>إلى</w:t>
      </w:r>
      <w:r w:rsidRPr="00FF7551">
        <w:rPr>
          <w:rFonts w:cs="Traditional Arabic" w:hint="cs"/>
          <w:sz w:val="32"/>
          <w:szCs w:val="32"/>
          <w:rtl/>
          <w:lang w:bidi="ar-MA"/>
        </w:rPr>
        <w:t xml:space="preserve"> أن التقابل الشكلي يستعمل لوصف الأنظمة اللغوية الأصل والهدف وهو من شأن اللسانيات المقارنة.</w:t>
      </w:r>
    </w:p>
    <w:p w:rsidR="00336987" w:rsidRPr="006C6222" w:rsidRDefault="00336987" w:rsidP="00670D01">
      <w:pPr>
        <w:pStyle w:val="Paragraphedeliste"/>
        <w:numPr>
          <w:ilvl w:val="0"/>
          <w:numId w:val="4"/>
        </w:numPr>
        <w:bidi/>
        <w:spacing w:line="276" w:lineRule="auto"/>
        <w:rPr>
          <w:rFonts w:cs="Traditional Arabic"/>
          <w:color w:val="984806" w:themeColor="accent6" w:themeShade="80"/>
          <w:sz w:val="32"/>
          <w:szCs w:val="32"/>
          <w:rtl/>
          <w:lang w:bidi="ar-MA"/>
        </w:rPr>
      </w:pPr>
      <w:r w:rsidRPr="006C6222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 xml:space="preserve">التكافؤ النصي </w:t>
      </w:r>
      <w:r w:rsidRPr="006C6222">
        <w:rPr>
          <w:rFonts w:cs="Traditional Arabic"/>
          <w:color w:val="984806" w:themeColor="accent6" w:themeShade="80"/>
          <w:sz w:val="28"/>
          <w:szCs w:val="28"/>
          <w:lang w:bidi="ar-MA"/>
        </w:rPr>
        <w:t>(Equivalence textuelle)</w:t>
      </w:r>
      <w:r w:rsidR="00670D01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>:</w:t>
      </w:r>
    </w:p>
    <w:p w:rsidR="00336987" w:rsidRDefault="00A9699C" w:rsidP="00695137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 </w:t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>التكافؤ النصي هو أ</w:t>
      </w:r>
      <w:r w:rsidR="00695137">
        <w:rPr>
          <w:rFonts w:cs="Traditional Arabic" w:hint="cs"/>
          <w:sz w:val="32"/>
          <w:szCs w:val="32"/>
          <w:rtl/>
          <w:lang w:bidi="ar-MA"/>
        </w:rPr>
        <w:t>ن</w:t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695137" w:rsidRPr="00336987">
        <w:rPr>
          <w:rFonts w:cs="Traditional Arabic" w:hint="cs"/>
          <w:sz w:val="32"/>
          <w:szCs w:val="32"/>
          <w:rtl/>
          <w:lang w:bidi="ar-MA"/>
        </w:rPr>
        <w:t xml:space="preserve">يكون </w:t>
      </w:r>
      <w:r w:rsidR="00695137">
        <w:rPr>
          <w:rFonts w:cs="Traditional Arabic" w:hint="cs"/>
          <w:sz w:val="32"/>
          <w:szCs w:val="32"/>
          <w:rtl/>
          <w:lang w:bidi="ar-MA"/>
        </w:rPr>
        <w:t xml:space="preserve">أي </w:t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 xml:space="preserve">جزء من نص أو نص بأكمله من اللغة الهدف مكافئا لجزء </w:t>
      </w:r>
      <w:r w:rsidR="00695137">
        <w:rPr>
          <w:rFonts w:cs="Traditional Arabic" w:hint="cs"/>
          <w:sz w:val="32"/>
          <w:szCs w:val="32"/>
          <w:rtl/>
          <w:lang w:bidi="ar-MA"/>
        </w:rPr>
        <w:t>من ال</w:t>
      </w:r>
      <w:r w:rsidR="00336987" w:rsidRPr="00336987">
        <w:rPr>
          <w:rFonts w:cs="Traditional Arabic" w:hint="cs"/>
          <w:sz w:val="32"/>
          <w:szCs w:val="32"/>
          <w:rtl/>
          <w:lang w:bidi="ar-MA"/>
        </w:rPr>
        <w:t>نص أو النص بأكمله في اللغة الأصل، لكن هذا التكافؤ يكون على أساس الشكل أو المبنى وليس على أساس المعنى.</w:t>
      </w:r>
    </w:p>
    <w:p w:rsidR="00695137" w:rsidRDefault="00695137" w:rsidP="00695137">
      <w:pPr>
        <w:bidi/>
        <w:spacing w:line="276" w:lineRule="auto"/>
        <w:rPr>
          <w:rFonts w:cs="Traditional Arabic"/>
          <w:sz w:val="32"/>
          <w:szCs w:val="32"/>
          <w:rtl/>
          <w:lang w:bidi="ar-MA"/>
        </w:rPr>
      </w:pPr>
    </w:p>
    <w:p w:rsidR="00695137" w:rsidRPr="00695137" w:rsidRDefault="00695137" w:rsidP="00695137">
      <w:pPr>
        <w:bidi/>
        <w:spacing w:line="276" w:lineRule="auto"/>
        <w:rPr>
          <w:rFonts w:cs="Traditional Arabic"/>
          <w:sz w:val="32"/>
          <w:szCs w:val="32"/>
          <w:rtl/>
          <w:lang w:bidi="ar-MA"/>
        </w:rPr>
      </w:pPr>
    </w:p>
    <w:p w:rsidR="00336987" w:rsidRPr="00695137" w:rsidRDefault="00695137" w:rsidP="00663BFC">
      <w:pPr>
        <w:pStyle w:val="Paragraphedeliste"/>
        <w:numPr>
          <w:ilvl w:val="0"/>
          <w:numId w:val="3"/>
        </w:numPr>
        <w:bidi/>
        <w:spacing w:line="276" w:lineRule="auto"/>
        <w:rPr>
          <w:rFonts w:cs="Traditional Arabic"/>
          <w:b/>
          <w:bCs/>
          <w:color w:val="984806" w:themeColor="accent6" w:themeShade="80"/>
          <w:sz w:val="32"/>
          <w:szCs w:val="32"/>
          <w:rtl/>
          <w:lang w:bidi="ar-MA"/>
        </w:rPr>
      </w:pPr>
      <w:r w:rsidRPr="00695137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 xml:space="preserve"> </w:t>
      </w:r>
      <w:r w:rsidR="00336987" w:rsidRPr="00695137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>التكافؤ عند كولر</w:t>
      </w:r>
      <w:r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 xml:space="preserve"> </w:t>
      </w:r>
      <w:r w:rsidRPr="00695137">
        <w:rPr>
          <w:rFonts w:cs="Traditional Arabic"/>
          <w:b/>
          <w:bCs/>
          <w:color w:val="984806" w:themeColor="accent6" w:themeShade="80"/>
          <w:sz w:val="28"/>
          <w:szCs w:val="28"/>
          <w:lang w:bidi="ar-MA"/>
        </w:rPr>
        <w:t>(Koller)</w:t>
      </w:r>
      <w:r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 xml:space="preserve">: </w:t>
      </w:r>
    </w:p>
    <w:p w:rsidR="00FF750D" w:rsidRDefault="00FC5919" w:rsidP="00FC5919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/>
          <w:sz w:val="32"/>
          <w:szCs w:val="32"/>
          <w:lang w:bidi="ar-MA"/>
        </w:rPr>
        <w:t xml:space="preserve">   </w:t>
      </w:r>
      <w:r w:rsidR="00D77CF2">
        <w:rPr>
          <w:rFonts w:cs="Traditional Arabic"/>
          <w:sz w:val="32"/>
          <w:szCs w:val="32"/>
          <w:lang w:bidi="ar-MA"/>
        </w:rPr>
        <w:t xml:space="preserve">  </w:t>
      </w:r>
      <w:r w:rsidR="00301FB5">
        <w:rPr>
          <w:rFonts w:cs="Traditional Arabic" w:hint="cs"/>
          <w:sz w:val="32"/>
          <w:szCs w:val="32"/>
          <w:rtl/>
          <w:lang w:bidi="ar-MA"/>
        </w:rPr>
        <w:t xml:space="preserve">تأثرت المدرسة الألمانية بأعمال </w:t>
      </w:r>
      <w:r w:rsidR="00301FB5" w:rsidRPr="009C2441">
        <w:rPr>
          <w:rFonts w:cs="Traditional Arabic" w:hint="cs"/>
          <w:b/>
          <w:bCs/>
          <w:sz w:val="32"/>
          <w:szCs w:val="32"/>
          <w:rtl/>
          <w:lang w:bidi="ar-MA"/>
        </w:rPr>
        <w:t>نايدا</w:t>
      </w:r>
      <w:r w:rsidR="00301FB5">
        <w:rPr>
          <w:rFonts w:cs="Traditional Arabic" w:hint="cs"/>
          <w:sz w:val="32"/>
          <w:szCs w:val="32"/>
          <w:rtl/>
          <w:lang w:bidi="ar-MA"/>
        </w:rPr>
        <w:t xml:space="preserve"> المتعلقة بالتكافؤ الديناميكي وهذا ما دفع العلماء الألمان إلى تركيز البحث حول مفهوم التكافؤ كمفهوم جوهري، نذكر في هذا الصدد أعمال </w:t>
      </w:r>
      <w:r w:rsidR="00301FB5" w:rsidRPr="00C323B0">
        <w:rPr>
          <w:rFonts w:cs="Traditional Arabic" w:hint="cs"/>
          <w:b/>
          <w:bCs/>
          <w:sz w:val="32"/>
          <w:szCs w:val="32"/>
          <w:rtl/>
          <w:lang w:bidi="ar-MA"/>
        </w:rPr>
        <w:t>كولر</w:t>
      </w:r>
      <w:r w:rsidR="00301FB5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301FB5" w:rsidRPr="00C323B0">
        <w:rPr>
          <w:rFonts w:cs="Traditional Arabic" w:hint="cs"/>
          <w:sz w:val="28"/>
          <w:szCs w:val="28"/>
          <w:rtl/>
          <w:lang w:bidi="ar-MA"/>
        </w:rPr>
        <w:t>(1979)</w:t>
      </w:r>
      <w:r w:rsidR="00301FB5">
        <w:rPr>
          <w:rFonts w:cs="Traditional Arabic" w:hint="cs"/>
          <w:sz w:val="32"/>
          <w:szCs w:val="32"/>
          <w:rtl/>
          <w:lang w:bidi="ar-MA"/>
        </w:rPr>
        <w:t xml:space="preserve"> الذي أسس مقاربته </w:t>
      </w:r>
      <w:r w:rsidR="003D6C64">
        <w:rPr>
          <w:rFonts w:cs="Traditional Arabic" w:hint="cs"/>
          <w:sz w:val="32"/>
          <w:szCs w:val="32"/>
          <w:rtl/>
          <w:lang w:bidi="ar-MA"/>
        </w:rPr>
        <w:t xml:space="preserve">على التمييز بين ثنائية </w:t>
      </w:r>
      <w:r w:rsidR="003D6C64" w:rsidRPr="00BA5E1D">
        <w:rPr>
          <w:rFonts w:cs="Traditional Arabic" w:hint="cs"/>
          <w:b/>
          <w:bCs/>
          <w:sz w:val="32"/>
          <w:szCs w:val="32"/>
          <w:rtl/>
          <w:lang w:bidi="ar-MA"/>
        </w:rPr>
        <w:t>دي سوسير</w:t>
      </w:r>
      <w:r w:rsidR="003D6C64">
        <w:rPr>
          <w:rFonts w:cs="Traditional Arabic" w:hint="cs"/>
          <w:sz w:val="32"/>
          <w:szCs w:val="32"/>
          <w:rtl/>
          <w:lang w:bidi="ar-MA"/>
        </w:rPr>
        <w:t xml:space="preserve"> الكلمة /الخطاب، لهذا نجد </w:t>
      </w:r>
      <w:r w:rsidR="003D6C64" w:rsidRPr="003E63A2">
        <w:rPr>
          <w:rFonts w:cs="Traditional Arabic" w:hint="cs"/>
          <w:b/>
          <w:bCs/>
          <w:sz w:val="32"/>
          <w:szCs w:val="32"/>
          <w:rtl/>
          <w:lang w:bidi="ar-MA"/>
        </w:rPr>
        <w:t>كولر</w:t>
      </w:r>
      <w:r w:rsidR="003D6C64">
        <w:rPr>
          <w:rFonts w:cs="Traditional Arabic" w:hint="cs"/>
          <w:sz w:val="32"/>
          <w:szCs w:val="32"/>
          <w:rtl/>
          <w:lang w:bidi="ar-MA"/>
        </w:rPr>
        <w:t xml:space="preserve"> يميز بين التقابل          </w:t>
      </w:r>
      <w:r w:rsidR="003D6C64" w:rsidRPr="003E63A2">
        <w:rPr>
          <w:rFonts w:cs="Traditional Arabic"/>
          <w:sz w:val="28"/>
          <w:szCs w:val="28"/>
          <w:lang w:bidi="ar-MA"/>
        </w:rPr>
        <w:t>(correspondance</w:t>
      </w:r>
      <w:r w:rsidR="003D6C64" w:rsidRPr="003E63A2">
        <w:rPr>
          <w:rFonts w:cs="Traditional Arabic" w:hint="cs"/>
          <w:sz w:val="28"/>
          <w:szCs w:val="28"/>
          <w:lang w:bidi="ar-MA"/>
        </w:rPr>
        <w:t>)</w:t>
      </w:r>
      <w:r w:rsidR="00FB0974">
        <w:rPr>
          <w:rFonts w:cs="Traditional Arabic" w:hint="cs"/>
          <w:sz w:val="32"/>
          <w:szCs w:val="32"/>
          <w:rtl/>
          <w:lang w:bidi="ar-MA"/>
        </w:rPr>
        <w:t xml:space="preserve"> والتكافؤ</w:t>
      </w:r>
      <w:r w:rsidR="004E4C04">
        <w:rPr>
          <w:rFonts w:cs="Traditional Arabic"/>
          <w:sz w:val="32"/>
          <w:szCs w:val="32"/>
          <w:lang w:bidi="ar-MA"/>
        </w:rPr>
        <w:t xml:space="preserve"> </w:t>
      </w:r>
      <w:r w:rsidR="003E63A2" w:rsidRPr="00D1704D">
        <w:rPr>
          <w:rFonts w:cs="Traditional Arabic"/>
          <w:sz w:val="28"/>
          <w:szCs w:val="28"/>
          <w:lang w:bidi="ar-MA"/>
        </w:rPr>
        <w:t>(</w:t>
      </w:r>
      <w:r w:rsidR="00FB0974" w:rsidRPr="00D1704D">
        <w:rPr>
          <w:rFonts w:cs="Traditional Arabic"/>
          <w:sz w:val="28"/>
          <w:szCs w:val="28"/>
          <w:lang w:bidi="ar-MA"/>
        </w:rPr>
        <w:t>equivalence</w:t>
      </w:r>
      <w:r w:rsidR="003E63A2" w:rsidRPr="00D1704D">
        <w:rPr>
          <w:rFonts w:cs="Traditional Arabic"/>
          <w:sz w:val="28"/>
          <w:szCs w:val="28"/>
          <w:lang w:bidi="ar-MA"/>
        </w:rPr>
        <w:t>)</w:t>
      </w:r>
      <w:r w:rsidR="004E4C04">
        <w:rPr>
          <w:rFonts w:cs="Traditional Arabic" w:hint="cs"/>
          <w:sz w:val="28"/>
          <w:szCs w:val="28"/>
          <w:rtl/>
          <w:lang w:bidi="ar-MA"/>
        </w:rPr>
        <w:t>؛</w:t>
      </w:r>
      <w:r w:rsidR="00AB02D0" w:rsidRPr="00D1704D">
        <w:rPr>
          <w:rFonts w:cs="Traditional Arabic" w:hint="cs"/>
          <w:sz w:val="28"/>
          <w:szCs w:val="28"/>
          <w:rtl/>
          <w:lang w:bidi="ar-MA"/>
        </w:rPr>
        <w:t xml:space="preserve"> </w:t>
      </w:r>
      <w:r w:rsidR="004E4C04" w:rsidRPr="004E4C04">
        <w:rPr>
          <w:rFonts w:cs="Traditional Arabic" w:hint="cs"/>
          <w:sz w:val="32"/>
          <w:szCs w:val="32"/>
          <w:rtl/>
          <w:lang w:bidi="ar-MA"/>
        </w:rPr>
        <w:t>فا</w:t>
      </w:r>
      <w:r w:rsidR="00AB02D0" w:rsidRPr="004E4C04">
        <w:rPr>
          <w:rFonts w:cs="Traditional Arabic" w:hint="cs"/>
          <w:sz w:val="32"/>
          <w:szCs w:val="32"/>
          <w:rtl/>
          <w:lang w:bidi="ar-MA"/>
        </w:rPr>
        <w:t>لت</w:t>
      </w:r>
      <w:r w:rsidR="00AB02D0">
        <w:rPr>
          <w:rFonts w:cs="Traditional Arabic" w:hint="cs"/>
          <w:sz w:val="32"/>
          <w:szCs w:val="32"/>
          <w:rtl/>
          <w:lang w:bidi="ar-MA"/>
        </w:rPr>
        <w:t xml:space="preserve">قابل يكون نتيجة لمقارنة النظام اللغوي الأصل بالنظام اللغوي الهدف واستخراج نقاط الاختلاف والتشابه بينهما إضافة إلى أنه من </w:t>
      </w:r>
      <w:r w:rsidR="00A41BB7">
        <w:rPr>
          <w:rFonts w:cs="Traditional Arabic" w:hint="cs"/>
          <w:sz w:val="32"/>
          <w:szCs w:val="32"/>
          <w:rtl/>
          <w:lang w:bidi="ar-MA"/>
        </w:rPr>
        <w:t>شأن اللسانيات التقابلية.</w:t>
      </w:r>
      <w:r w:rsidR="00FC588B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A41BB7">
        <w:rPr>
          <w:rFonts w:cs="Traditional Arabic" w:hint="cs"/>
          <w:sz w:val="32"/>
          <w:szCs w:val="32"/>
          <w:rtl/>
          <w:lang w:bidi="ar-MA"/>
        </w:rPr>
        <w:t xml:space="preserve">أما </w:t>
      </w:r>
      <w:r w:rsidR="00FF750D">
        <w:rPr>
          <w:rFonts w:cs="Traditional Arabic" w:hint="cs"/>
          <w:sz w:val="32"/>
          <w:szCs w:val="32"/>
          <w:rtl/>
          <w:lang w:bidi="ar-MA"/>
        </w:rPr>
        <w:t>التكافؤ</w:t>
      </w:r>
      <w:r w:rsidR="00FF750D">
        <w:rPr>
          <w:rFonts w:cs="Traditional Arabic"/>
          <w:sz w:val="32"/>
          <w:szCs w:val="32"/>
          <w:lang w:bidi="ar-MA"/>
        </w:rPr>
        <w:t xml:space="preserve"> </w:t>
      </w:r>
      <w:r w:rsidR="00FF750D">
        <w:rPr>
          <w:rFonts w:cs="Traditional Arabic" w:hint="cs"/>
          <w:sz w:val="32"/>
          <w:szCs w:val="32"/>
          <w:rtl/>
          <w:lang w:bidi="ar-MA"/>
        </w:rPr>
        <w:t>هو</w:t>
      </w:r>
      <w:r w:rsidR="006D5D8E">
        <w:rPr>
          <w:rFonts w:cs="Traditional Arabic" w:hint="cs"/>
          <w:sz w:val="32"/>
          <w:szCs w:val="32"/>
          <w:rtl/>
          <w:lang w:bidi="ar-MA"/>
        </w:rPr>
        <w:t xml:space="preserve"> موضوع علم الترجمة ويكون نتيجة لمقارنة النص الأصل والنص الهدف على مستوى </w:t>
      </w:r>
      <w:r w:rsidR="00FF750D">
        <w:rPr>
          <w:rFonts w:cs="Traditional Arabic" w:hint="cs"/>
          <w:sz w:val="32"/>
          <w:szCs w:val="32"/>
          <w:rtl/>
          <w:lang w:bidi="ar-MA"/>
        </w:rPr>
        <w:t xml:space="preserve">الخطاب فالتكافؤ </w:t>
      </w:r>
      <w:r w:rsidR="00FC588B">
        <w:rPr>
          <w:rFonts w:cs="Traditional Arabic" w:hint="cs"/>
          <w:sz w:val="32"/>
          <w:szCs w:val="32"/>
          <w:rtl/>
          <w:lang w:bidi="ar-MA"/>
        </w:rPr>
        <w:t xml:space="preserve">« </w:t>
      </w:r>
      <w:r w:rsidR="00FF750D">
        <w:rPr>
          <w:rFonts w:cs="Traditional Arabic" w:hint="cs"/>
          <w:sz w:val="32"/>
          <w:szCs w:val="32"/>
          <w:rtl/>
          <w:lang w:bidi="ar-MA"/>
        </w:rPr>
        <w:t>يتحقق بين نصين وليس بمقارنة نظامين لغويين</w:t>
      </w:r>
      <w:r w:rsidR="00FC588B">
        <w:rPr>
          <w:rFonts w:cs="Traditional Arabic" w:hint="cs"/>
          <w:sz w:val="32"/>
          <w:szCs w:val="32"/>
          <w:rtl/>
          <w:lang w:bidi="ar-MA"/>
        </w:rPr>
        <w:t xml:space="preserve"> »</w:t>
      </w:r>
      <w:r w:rsidR="007E1AE3">
        <w:rPr>
          <w:rStyle w:val="Appelnotedebasdep"/>
          <w:rFonts w:cs="Traditional Arabic"/>
          <w:sz w:val="32"/>
          <w:szCs w:val="32"/>
          <w:rtl/>
          <w:lang w:bidi="ar-MA"/>
        </w:rPr>
        <w:footnoteReference w:id="3"/>
      </w:r>
      <w:r w:rsidR="00FF750D">
        <w:rPr>
          <w:rFonts w:cs="Traditional Arabic" w:hint="cs"/>
          <w:sz w:val="32"/>
          <w:szCs w:val="32"/>
          <w:rtl/>
          <w:lang w:bidi="ar-MA"/>
        </w:rPr>
        <w:t>.</w:t>
      </w:r>
    </w:p>
    <w:p w:rsidR="009815A0" w:rsidRDefault="00FC5919" w:rsidP="008C4EA1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/>
          <w:sz w:val="32"/>
          <w:szCs w:val="32"/>
          <w:lang w:bidi="ar-MA"/>
        </w:rPr>
        <w:t xml:space="preserve">    </w:t>
      </w:r>
      <w:r w:rsidR="00FF750D">
        <w:rPr>
          <w:rFonts w:cs="Traditional Arabic" w:hint="cs"/>
          <w:sz w:val="32"/>
          <w:szCs w:val="32"/>
          <w:rtl/>
          <w:lang w:bidi="ar-MA"/>
        </w:rPr>
        <w:t xml:space="preserve">بالنسبة </w:t>
      </w:r>
      <w:r w:rsidR="00FF750D" w:rsidRPr="001840B7">
        <w:rPr>
          <w:rFonts w:cs="Traditional Arabic" w:hint="cs"/>
          <w:b/>
          <w:bCs/>
          <w:sz w:val="32"/>
          <w:szCs w:val="32"/>
          <w:rtl/>
          <w:lang w:bidi="ar-MA"/>
        </w:rPr>
        <w:t>لكولر</w:t>
      </w:r>
      <w:r w:rsidR="00FF750D">
        <w:rPr>
          <w:rFonts w:cs="Traditional Arabic" w:hint="cs"/>
          <w:sz w:val="32"/>
          <w:szCs w:val="32"/>
          <w:rtl/>
          <w:lang w:bidi="ar-MA"/>
        </w:rPr>
        <w:t xml:space="preserve"> فإن التكافؤ يخضع إلى عدد من العوامل اللغوية وخارج لغوية المتعلقة </w:t>
      </w:r>
      <w:r w:rsidR="0067034B">
        <w:rPr>
          <w:rFonts w:cs="Traditional Arabic" w:hint="cs"/>
          <w:sz w:val="32"/>
          <w:szCs w:val="32"/>
          <w:rtl/>
          <w:lang w:bidi="ar-MA"/>
        </w:rPr>
        <w:t>باللغة الأصل</w:t>
      </w:r>
      <w:r w:rsidR="00AF392A">
        <w:rPr>
          <w:rFonts w:cs="Traditional Arabic" w:hint="cs"/>
          <w:sz w:val="32"/>
          <w:szCs w:val="32"/>
          <w:rtl/>
          <w:lang w:bidi="ar-MA"/>
        </w:rPr>
        <w:t xml:space="preserve"> و</w:t>
      </w:r>
      <w:r w:rsidR="002753AB">
        <w:rPr>
          <w:rFonts w:cs="Traditional Arabic" w:hint="cs"/>
          <w:sz w:val="32"/>
          <w:szCs w:val="32"/>
          <w:rtl/>
          <w:lang w:bidi="ar-MA"/>
        </w:rPr>
        <w:t>اللغة الهدف،</w:t>
      </w:r>
      <w:r w:rsidR="002753AB" w:rsidRPr="002753AB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AF392A" w:rsidRPr="002753AB">
        <w:rPr>
          <w:rFonts w:cs="Traditional Arabic" w:hint="cs"/>
          <w:sz w:val="32"/>
          <w:szCs w:val="32"/>
          <w:rtl/>
          <w:lang w:bidi="ar-MA"/>
        </w:rPr>
        <w:t>بالإضافة</w:t>
      </w:r>
      <w:r w:rsidR="00AF392A">
        <w:rPr>
          <w:rFonts w:cs="Traditional Arabic" w:hint="cs"/>
          <w:sz w:val="32"/>
          <w:szCs w:val="32"/>
          <w:rtl/>
          <w:lang w:bidi="ar-MA"/>
        </w:rPr>
        <w:t xml:space="preserve"> إلى الظروف التاريخية والثقافية التي تم</w:t>
      </w:r>
      <w:r w:rsidR="002A4000">
        <w:rPr>
          <w:rFonts w:cs="Traditional Arabic" w:hint="cs"/>
          <w:sz w:val="32"/>
          <w:szCs w:val="32"/>
          <w:rtl/>
          <w:lang w:bidi="ar-MA"/>
        </w:rPr>
        <w:t xml:space="preserve"> فيها</w:t>
      </w:r>
      <w:r w:rsidR="00AF392A">
        <w:rPr>
          <w:rFonts w:cs="Traditional Arabic" w:hint="cs"/>
          <w:sz w:val="32"/>
          <w:szCs w:val="32"/>
          <w:rtl/>
          <w:lang w:bidi="ar-MA"/>
        </w:rPr>
        <w:t xml:space="preserve"> إنتاج</w:t>
      </w:r>
      <w:r w:rsidR="005511BE">
        <w:rPr>
          <w:rFonts w:cs="Traditional Arabic" w:hint="cs"/>
          <w:sz w:val="32"/>
          <w:szCs w:val="32"/>
          <w:rtl/>
          <w:lang w:bidi="ar-MA"/>
        </w:rPr>
        <w:t xml:space="preserve"> النص الأصل واستقبال ترجمته"</w:t>
      </w:r>
      <w:r w:rsidR="001329B2">
        <w:rPr>
          <w:rFonts w:cs="Traditional Arabic" w:hint="cs"/>
          <w:sz w:val="32"/>
          <w:szCs w:val="32"/>
          <w:rtl/>
          <w:lang w:bidi="ar-MA"/>
        </w:rPr>
        <w:t>.</w:t>
      </w:r>
      <w:r w:rsidR="005511BE">
        <w:rPr>
          <w:rFonts w:cs="Traditional Arabic" w:hint="cs"/>
          <w:sz w:val="32"/>
          <w:szCs w:val="32"/>
          <w:rtl/>
          <w:lang w:bidi="ar-MA"/>
        </w:rPr>
        <w:t xml:space="preserve"> فضلا عن ذلك فإن </w:t>
      </w:r>
      <w:r w:rsidR="005511BE" w:rsidRPr="008C4EA1">
        <w:rPr>
          <w:rFonts w:cs="Traditional Arabic" w:hint="cs"/>
          <w:b/>
          <w:bCs/>
          <w:sz w:val="32"/>
          <w:szCs w:val="32"/>
          <w:rtl/>
          <w:lang w:bidi="ar-MA"/>
        </w:rPr>
        <w:t>كولر</w:t>
      </w:r>
      <w:r w:rsidR="005511BE">
        <w:rPr>
          <w:rFonts w:cs="Traditional Arabic" w:hint="cs"/>
          <w:sz w:val="32"/>
          <w:szCs w:val="32"/>
          <w:rtl/>
          <w:lang w:bidi="ar-MA"/>
        </w:rPr>
        <w:t xml:space="preserve"> يرى أن التكا</w:t>
      </w:r>
      <w:r w:rsidR="009815A0">
        <w:rPr>
          <w:rFonts w:cs="Traditional Arabic" w:hint="cs"/>
          <w:sz w:val="32"/>
          <w:szCs w:val="32"/>
          <w:rtl/>
          <w:lang w:bidi="ar-MA"/>
        </w:rPr>
        <w:t>فؤ يحدد انطلاقا من علاقة التكافؤ</w:t>
      </w:r>
      <w:r w:rsidR="005511BE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9815A0" w:rsidRPr="008C4EA1">
        <w:rPr>
          <w:rFonts w:cs="Traditional Arabic"/>
          <w:sz w:val="28"/>
          <w:szCs w:val="28"/>
          <w:lang w:bidi="ar-MA"/>
        </w:rPr>
        <w:t>(Relation d</w:t>
      </w:r>
      <w:r w:rsidR="009815A0" w:rsidRPr="008C4EA1">
        <w:rPr>
          <w:rFonts w:cs="Traditional Arabic" w:hint="cs"/>
          <w:sz w:val="28"/>
          <w:szCs w:val="28"/>
          <w:lang w:bidi="ar-MA"/>
        </w:rPr>
        <w:t>'</w:t>
      </w:r>
      <w:r w:rsidR="009815A0" w:rsidRPr="008C4EA1">
        <w:rPr>
          <w:rFonts w:cs="Traditional Arabic"/>
          <w:sz w:val="28"/>
          <w:szCs w:val="28"/>
          <w:lang w:bidi="ar-MA"/>
        </w:rPr>
        <w:t>équivalence)</w:t>
      </w:r>
      <w:r w:rsidR="00AF392A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9815A0">
        <w:rPr>
          <w:rFonts w:cs="Traditional Arabic" w:hint="cs"/>
          <w:sz w:val="32"/>
          <w:szCs w:val="32"/>
          <w:rtl/>
          <w:lang w:bidi="ar-MA"/>
        </w:rPr>
        <w:t>وهذه العلاقة تقاس بمدى مطابقتها لأطر التكافؤ .</w:t>
      </w:r>
    </w:p>
    <w:p w:rsidR="003A6762" w:rsidRPr="00664056" w:rsidRDefault="009815A0" w:rsidP="00664056">
      <w:pPr>
        <w:pStyle w:val="Paragraphedeliste"/>
        <w:numPr>
          <w:ilvl w:val="0"/>
          <w:numId w:val="4"/>
        </w:numPr>
        <w:bidi/>
        <w:spacing w:line="276" w:lineRule="auto"/>
        <w:rPr>
          <w:rFonts w:cs="Traditional Arabic"/>
          <w:sz w:val="32"/>
          <w:szCs w:val="32"/>
          <w:rtl/>
          <w:lang w:bidi="ar-MA"/>
        </w:rPr>
      </w:pPr>
      <w:r w:rsidRPr="00664056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>أطر التكافؤ</w:t>
      </w:r>
      <w:r w:rsidRPr="00664056">
        <w:rPr>
          <w:rFonts w:cs="Traditional Arabic"/>
          <w:b/>
          <w:bCs/>
          <w:color w:val="984806" w:themeColor="accent6" w:themeShade="80"/>
          <w:sz w:val="28"/>
          <w:szCs w:val="28"/>
          <w:lang w:bidi="ar-MA"/>
        </w:rPr>
        <w:t>(Cadres d</w:t>
      </w:r>
      <w:r w:rsidRPr="00664056">
        <w:rPr>
          <w:rFonts w:cs="Traditional Arabic" w:hint="cs"/>
          <w:b/>
          <w:bCs/>
          <w:color w:val="984806" w:themeColor="accent6" w:themeShade="80"/>
          <w:sz w:val="28"/>
          <w:szCs w:val="28"/>
          <w:lang w:bidi="ar-MA"/>
        </w:rPr>
        <w:t>'</w:t>
      </w:r>
      <w:r w:rsidRPr="00664056">
        <w:rPr>
          <w:rFonts w:cs="Traditional Arabic"/>
          <w:b/>
          <w:bCs/>
          <w:color w:val="984806" w:themeColor="accent6" w:themeShade="80"/>
          <w:sz w:val="28"/>
          <w:szCs w:val="28"/>
          <w:lang w:bidi="ar-MA"/>
        </w:rPr>
        <w:t>équivalences)</w:t>
      </w:r>
      <w:r w:rsidRPr="00664056">
        <w:rPr>
          <w:rFonts w:cs="Traditional Arabic" w:hint="cs"/>
          <w:sz w:val="28"/>
          <w:szCs w:val="28"/>
          <w:rtl/>
          <w:lang w:bidi="ar-MA"/>
        </w:rPr>
        <w:t> </w:t>
      </w:r>
      <w:r w:rsidRPr="00664056">
        <w:rPr>
          <w:rFonts w:cs="Traditional Arabic" w:hint="cs"/>
          <w:sz w:val="32"/>
          <w:szCs w:val="32"/>
          <w:lang w:bidi="ar-MA"/>
        </w:rPr>
        <w:t>:</w:t>
      </w:r>
    </w:p>
    <w:p w:rsidR="001B1545" w:rsidRDefault="002B5D5B" w:rsidP="00713C42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 يحدد</w:t>
      </w:r>
      <w:r w:rsidRPr="0090130D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="003A6762" w:rsidRPr="0090130D">
        <w:rPr>
          <w:rFonts w:cs="Traditional Arabic" w:hint="cs"/>
          <w:b/>
          <w:bCs/>
          <w:sz w:val="32"/>
          <w:szCs w:val="32"/>
          <w:rtl/>
          <w:lang w:bidi="ar-MA"/>
        </w:rPr>
        <w:t>كولر</w:t>
      </w:r>
      <w:r w:rsidR="003A6762">
        <w:rPr>
          <w:rFonts w:cs="Traditional Arabic" w:hint="cs"/>
          <w:sz w:val="32"/>
          <w:szCs w:val="32"/>
          <w:rtl/>
          <w:lang w:bidi="ar-MA"/>
        </w:rPr>
        <w:t xml:space="preserve"> علاقة ال</w:t>
      </w:r>
      <w:r>
        <w:rPr>
          <w:rFonts w:cs="Traditional Arabic" w:hint="cs"/>
          <w:sz w:val="32"/>
          <w:szCs w:val="32"/>
          <w:rtl/>
          <w:lang w:bidi="ar-MA"/>
        </w:rPr>
        <w:t xml:space="preserve">تكافؤ على أساس الرابطة المزدوجة؛ </w:t>
      </w:r>
      <w:r w:rsidR="002C74E5">
        <w:rPr>
          <w:rFonts w:cs="Traditional Arabic" w:hint="cs"/>
          <w:sz w:val="32"/>
          <w:szCs w:val="32"/>
          <w:rtl/>
          <w:lang w:bidi="ar-MA"/>
        </w:rPr>
        <w:t>فالرابطة الأولى لها علاقة بالنص الأصل أما الثانية تحيل إلى الظروف التواصلية الخاصة بملتقي الرسالة</w:t>
      </w:r>
      <w:r w:rsidR="006077AC">
        <w:rPr>
          <w:rFonts w:cs="Traditional Arabic" w:hint="cs"/>
          <w:sz w:val="32"/>
          <w:szCs w:val="32"/>
          <w:rtl/>
          <w:lang w:bidi="ar-MA"/>
        </w:rPr>
        <w:t xml:space="preserve"> و بغية تحديد أطر التكافؤ ينبغي الرجوع </w:t>
      </w:r>
      <w:r w:rsidR="001B1545">
        <w:rPr>
          <w:rFonts w:cs="Traditional Arabic" w:hint="cs"/>
          <w:sz w:val="32"/>
          <w:szCs w:val="32"/>
          <w:rtl/>
          <w:lang w:bidi="ar-MA"/>
        </w:rPr>
        <w:t>إلى الشروط ال</w:t>
      </w:r>
      <w:r w:rsidR="00713C42">
        <w:rPr>
          <w:rFonts w:cs="Traditional Arabic" w:hint="cs"/>
          <w:sz w:val="32"/>
          <w:szCs w:val="32"/>
          <w:rtl/>
          <w:lang w:bidi="ar-MA"/>
        </w:rPr>
        <w:t>لآتية:</w:t>
      </w:r>
      <w:r w:rsidR="001B1545">
        <w:rPr>
          <w:rFonts w:cs="Traditional Arabic" w:hint="cs"/>
          <w:sz w:val="32"/>
          <w:szCs w:val="32"/>
          <w:rtl/>
          <w:lang w:bidi="ar-MA"/>
        </w:rPr>
        <w:t xml:space="preserve"> </w:t>
      </w:r>
    </w:p>
    <w:p w:rsidR="001B1545" w:rsidRPr="00366471" w:rsidRDefault="001B1545" w:rsidP="00366471">
      <w:pPr>
        <w:pStyle w:val="Paragraphedeliste"/>
        <w:numPr>
          <w:ilvl w:val="0"/>
          <w:numId w:val="7"/>
        </w:numPr>
        <w:bidi/>
        <w:spacing w:line="276" w:lineRule="auto"/>
        <w:rPr>
          <w:rFonts w:cs="Traditional Arabic"/>
          <w:sz w:val="32"/>
          <w:szCs w:val="32"/>
          <w:rtl/>
          <w:lang w:bidi="ar-MA"/>
        </w:rPr>
      </w:pPr>
      <w:r w:rsidRPr="00366471">
        <w:rPr>
          <w:rFonts w:cs="Traditional Arabic" w:hint="cs"/>
          <w:sz w:val="32"/>
          <w:szCs w:val="32"/>
          <w:rtl/>
          <w:lang w:bidi="ar-MA"/>
        </w:rPr>
        <w:t>الظروف خارج اللغوية التي يحملها النص.</w:t>
      </w:r>
    </w:p>
    <w:p w:rsidR="001C61AF" w:rsidRPr="00366471" w:rsidRDefault="001B1545" w:rsidP="00EA02F4">
      <w:pPr>
        <w:pStyle w:val="Paragraphedeliste"/>
        <w:numPr>
          <w:ilvl w:val="0"/>
          <w:numId w:val="7"/>
        </w:numPr>
        <w:bidi/>
        <w:spacing w:line="276" w:lineRule="auto"/>
        <w:rPr>
          <w:rFonts w:cs="Traditional Arabic"/>
          <w:sz w:val="32"/>
          <w:szCs w:val="32"/>
          <w:rtl/>
          <w:lang w:bidi="ar-MA"/>
        </w:rPr>
      </w:pPr>
      <w:r w:rsidRPr="00366471">
        <w:rPr>
          <w:rFonts w:cs="Traditional Arabic" w:hint="cs"/>
          <w:sz w:val="32"/>
          <w:szCs w:val="32"/>
          <w:rtl/>
          <w:lang w:bidi="ar-MA"/>
        </w:rPr>
        <w:t>التضمينات المنقولة عن طريق نمط التعبير.</w:t>
      </w:r>
    </w:p>
    <w:p w:rsidR="00D82B79" w:rsidRDefault="001C61AF" w:rsidP="00EA02F4">
      <w:pPr>
        <w:bidi/>
        <w:spacing w:line="276" w:lineRule="auto"/>
        <w:ind w:left="644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>ج-</w:t>
      </w:r>
      <w:r w:rsidR="00366471">
        <w:rPr>
          <w:rFonts w:cs="Traditional Arabic" w:hint="cs"/>
          <w:sz w:val="32"/>
          <w:szCs w:val="32"/>
          <w:rtl/>
          <w:lang w:bidi="ar-MA"/>
        </w:rPr>
        <w:t xml:space="preserve">     </w:t>
      </w:r>
      <w:r>
        <w:rPr>
          <w:rFonts w:cs="Traditional Arabic" w:hint="cs"/>
          <w:sz w:val="32"/>
          <w:szCs w:val="32"/>
          <w:rtl/>
          <w:lang w:bidi="ar-MA"/>
        </w:rPr>
        <w:t>المعايير اللغوية و النصية التي تتناسب والنصوص الموازية في اللغة الهدف.</w:t>
      </w:r>
    </w:p>
    <w:p w:rsidR="003346BD" w:rsidRDefault="003346BD" w:rsidP="003346BD">
      <w:pPr>
        <w:bidi/>
        <w:spacing w:line="276" w:lineRule="auto"/>
        <w:ind w:left="644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>د-      الكيفية التي يتم أخذ مستقبل الرسالة في الحسبان.</w:t>
      </w:r>
    </w:p>
    <w:p w:rsidR="00D82B79" w:rsidRDefault="00D82B79" w:rsidP="00D82B79">
      <w:pPr>
        <w:bidi/>
        <w:spacing w:line="276" w:lineRule="auto"/>
        <w:ind w:left="644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>و-</w:t>
      </w:r>
      <w:r w:rsidR="00366471">
        <w:rPr>
          <w:rFonts w:cs="Traditional Arabic" w:hint="cs"/>
          <w:sz w:val="32"/>
          <w:szCs w:val="32"/>
          <w:rtl/>
          <w:lang w:bidi="ar-MA"/>
        </w:rPr>
        <w:t xml:space="preserve">      </w:t>
      </w:r>
      <w:r>
        <w:rPr>
          <w:rFonts w:cs="Traditional Arabic" w:hint="cs"/>
          <w:sz w:val="32"/>
          <w:szCs w:val="32"/>
          <w:rtl/>
          <w:lang w:bidi="ar-MA"/>
        </w:rPr>
        <w:t>الخصائص الجمالية لنص لغة الأصل.</w:t>
      </w:r>
    </w:p>
    <w:p w:rsidR="00543FB5" w:rsidRDefault="004B18D2" w:rsidP="0052743F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 </w:t>
      </w:r>
      <w:r w:rsidR="0021463E">
        <w:rPr>
          <w:rFonts w:cs="Traditional Arabic" w:hint="cs"/>
          <w:sz w:val="32"/>
          <w:szCs w:val="32"/>
          <w:rtl/>
          <w:lang w:bidi="ar-MA"/>
        </w:rPr>
        <w:t xml:space="preserve">بناء على مقاربة </w:t>
      </w:r>
      <w:r w:rsidR="0021463E" w:rsidRPr="004B18D2">
        <w:rPr>
          <w:rFonts w:cs="Traditional Arabic" w:hint="cs"/>
          <w:b/>
          <w:bCs/>
          <w:sz w:val="32"/>
          <w:szCs w:val="32"/>
          <w:rtl/>
          <w:lang w:bidi="ar-MA"/>
        </w:rPr>
        <w:t>كولر</w:t>
      </w:r>
      <w:r w:rsidR="0021463E">
        <w:rPr>
          <w:rFonts w:cs="Traditional Arabic" w:hint="cs"/>
          <w:sz w:val="32"/>
          <w:szCs w:val="32"/>
          <w:rtl/>
          <w:lang w:bidi="ar-MA"/>
        </w:rPr>
        <w:t xml:space="preserve"> للتكافؤ ف</w:t>
      </w:r>
      <w:r w:rsidR="0052743F">
        <w:rPr>
          <w:rFonts w:cs="Traditional Arabic" w:hint="cs"/>
          <w:sz w:val="32"/>
          <w:szCs w:val="32"/>
          <w:rtl/>
          <w:lang w:bidi="ar-MA"/>
        </w:rPr>
        <w:t xml:space="preserve">تعتبر </w:t>
      </w:r>
      <w:r>
        <w:rPr>
          <w:rFonts w:cs="Traditional Arabic" w:hint="cs"/>
          <w:sz w:val="32"/>
          <w:szCs w:val="32"/>
          <w:rtl/>
          <w:lang w:bidi="ar-MA"/>
        </w:rPr>
        <w:t>البنية اللغوية</w:t>
      </w:r>
      <w:r w:rsidRPr="004B18D2">
        <w:rPr>
          <w:rFonts w:cs="Traditional Arabic" w:hint="cs"/>
          <w:sz w:val="32"/>
          <w:szCs w:val="32"/>
          <w:rtl/>
          <w:lang w:bidi="ar-MA"/>
        </w:rPr>
        <w:t xml:space="preserve"> </w:t>
      </w:r>
      <w:r>
        <w:rPr>
          <w:rFonts w:cs="Traditional Arabic" w:hint="cs"/>
          <w:sz w:val="32"/>
          <w:szCs w:val="32"/>
          <w:rtl/>
          <w:lang w:bidi="ar-MA"/>
        </w:rPr>
        <w:t>والأسلوبية لل</w:t>
      </w:r>
      <w:r w:rsidR="0021463E">
        <w:rPr>
          <w:rFonts w:cs="Traditional Arabic" w:hint="cs"/>
          <w:sz w:val="32"/>
          <w:szCs w:val="32"/>
          <w:rtl/>
          <w:lang w:bidi="ar-MA"/>
        </w:rPr>
        <w:t>نص اللغة الأصل</w:t>
      </w: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21463E">
        <w:rPr>
          <w:rFonts w:cs="Traditional Arabic" w:hint="cs"/>
          <w:sz w:val="32"/>
          <w:szCs w:val="32"/>
          <w:rtl/>
          <w:lang w:bidi="ar-MA"/>
        </w:rPr>
        <w:t>ودلالته المحتملة عامل أساسي في الترجمة أو بالأحرى في علوم الترجمة</w:t>
      </w:r>
      <w:r w:rsidR="0052743F">
        <w:rPr>
          <w:rFonts w:cs="Traditional Arabic" w:hint="cs"/>
          <w:sz w:val="32"/>
          <w:szCs w:val="32"/>
          <w:rtl/>
          <w:lang w:bidi="ar-MA"/>
        </w:rPr>
        <w:t xml:space="preserve"> »</w:t>
      </w:r>
      <w:r w:rsidR="0052743F">
        <w:rPr>
          <w:rStyle w:val="Appelnotedebasdep"/>
          <w:rFonts w:cs="Traditional Arabic"/>
          <w:sz w:val="32"/>
          <w:szCs w:val="32"/>
          <w:rtl/>
          <w:lang w:bidi="ar-MA"/>
        </w:rPr>
        <w:footnoteReference w:id="4"/>
      </w:r>
      <w:r w:rsidR="0021463E">
        <w:rPr>
          <w:rFonts w:cs="Traditional Arabic" w:hint="cs"/>
          <w:sz w:val="32"/>
          <w:szCs w:val="32"/>
          <w:rtl/>
          <w:lang w:bidi="ar-MA"/>
        </w:rPr>
        <w:t>.</w:t>
      </w:r>
      <w:r w:rsidR="001C61AF">
        <w:rPr>
          <w:rFonts w:cs="Traditional Arabic" w:hint="cs"/>
          <w:sz w:val="32"/>
          <w:szCs w:val="32"/>
          <w:rtl/>
          <w:lang w:bidi="ar-MA"/>
        </w:rPr>
        <w:t xml:space="preserve"> </w:t>
      </w:r>
    </w:p>
    <w:p w:rsidR="00AF6546" w:rsidRDefault="00AF6546" w:rsidP="00AF6546">
      <w:pPr>
        <w:bidi/>
        <w:spacing w:line="276" w:lineRule="auto"/>
        <w:jc w:val="both"/>
        <w:rPr>
          <w:rFonts w:cs="Traditional Arabic"/>
          <w:sz w:val="32"/>
          <w:szCs w:val="32"/>
          <w:lang w:bidi="ar-MA"/>
        </w:rPr>
      </w:pPr>
    </w:p>
    <w:p w:rsidR="00543FB5" w:rsidRDefault="00543FB5" w:rsidP="00543FB5">
      <w:pPr>
        <w:bidi/>
        <w:spacing w:line="276" w:lineRule="auto"/>
        <w:jc w:val="both"/>
        <w:rPr>
          <w:rFonts w:cs="Traditional Arabic"/>
          <w:sz w:val="32"/>
          <w:szCs w:val="32"/>
          <w:lang w:bidi="ar-MA"/>
        </w:rPr>
      </w:pPr>
    </w:p>
    <w:p w:rsidR="00C7585D" w:rsidRPr="00C7585D" w:rsidRDefault="00C7585D" w:rsidP="00C7585D">
      <w:pPr>
        <w:pStyle w:val="Paragraphedeliste"/>
        <w:numPr>
          <w:ilvl w:val="0"/>
          <w:numId w:val="3"/>
        </w:numPr>
        <w:bidi/>
        <w:spacing w:line="276" w:lineRule="auto"/>
        <w:rPr>
          <w:rFonts w:cs="Traditional Arabic"/>
          <w:b/>
          <w:bCs/>
          <w:color w:val="984806" w:themeColor="accent6" w:themeShade="80"/>
          <w:sz w:val="32"/>
          <w:szCs w:val="32"/>
          <w:lang w:bidi="ar-MA"/>
        </w:rPr>
      </w:pPr>
      <w:r w:rsidRPr="00C7585D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 xml:space="preserve">التكافؤ عند </w:t>
      </w:r>
      <w:r w:rsidRPr="00F26189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 xml:space="preserve">هاوس </w:t>
      </w:r>
      <w:r w:rsidRPr="00F26189">
        <w:rPr>
          <w:rFonts w:cs="Traditional Arabic"/>
          <w:b/>
          <w:bCs/>
          <w:color w:val="984806" w:themeColor="accent6" w:themeShade="80"/>
          <w:sz w:val="28"/>
          <w:szCs w:val="28"/>
          <w:lang w:bidi="ar-MA"/>
        </w:rPr>
        <w:t>(House)</w:t>
      </w:r>
      <w:r>
        <w:rPr>
          <w:rFonts w:cs="Traditional Arabic" w:hint="cs"/>
          <w:color w:val="984806" w:themeColor="accent6" w:themeShade="80"/>
          <w:sz w:val="28"/>
          <w:szCs w:val="28"/>
          <w:rtl/>
          <w:lang w:bidi="ar-MA"/>
        </w:rPr>
        <w:t>:</w:t>
      </w:r>
    </w:p>
    <w:p w:rsidR="008014E2" w:rsidRDefault="00C7585D" w:rsidP="00180122">
      <w:pPr>
        <w:bidi/>
        <w:spacing w:line="276" w:lineRule="auto"/>
        <w:jc w:val="both"/>
        <w:rPr>
          <w:rFonts w:cs="Traditional Arabic"/>
          <w:sz w:val="28"/>
          <w:szCs w:val="28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</w:t>
      </w:r>
      <w:r w:rsidR="008014E2">
        <w:rPr>
          <w:rFonts w:cs="Traditional Arabic" w:hint="cs"/>
          <w:sz w:val="32"/>
          <w:szCs w:val="32"/>
          <w:rtl/>
          <w:lang w:bidi="ar-MA"/>
        </w:rPr>
        <w:t xml:space="preserve"> </w:t>
      </w:r>
      <w:r>
        <w:rPr>
          <w:rFonts w:cs="Traditional Arabic" w:hint="cs"/>
          <w:sz w:val="32"/>
          <w:szCs w:val="32"/>
          <w:rtl/>
          <w:lang w:bidi="ar-MA"/>
        </w:rPr>
        <w:t xml:space="preserve">صاغت </w:t>
      </w:r>
      <w:r w:rsidR="00B2669E" w:rsidRPr="00B2669E">
        <w:rPr>
          <w:rFonts w:cs="Traditional Arabic" w:hint="cs"/>
          <w:b/>
          <w:bCs/>
          <w:sz w:val="32"/>
          <w:szCs w:val="32"/>
          <w:rtl/>
          <w:lang w:bidi="ar-MA"/>
        </w:rPr>
        <w:t>هاوس</w:t>
      </w:r>
      <w:r w:rsidR="00B2669E">
        <w:rPr>
          <w:rFonts w:cs="Traditional Arabic" w:hint="cs"/>
          <w:sz w:val="32"/>
          <w:szCs w:val="32"/>
          <w:rtl/>
          <w:lang w:bidi="ar-MA"/>
        </w:rPr>
        <w:t xml:space="preserve"> مقاربتها للترجمة استنادا إلى مفهوم </w:t>
      </w:r>
      <w:r w:rsidR="00804977">
        <w:rPr>
          <w:rFonts w:cs="Traditional Arabic" w:hint="cs"/>
          <w:sz w:val="32"/>
          <w:szCs w:val="32"/>
          <w:rtl/>
          <w:lang w:bidi="ar-MA"/>
        </w:rPr>
        <w:t>التكافؤ حيث تقسمه إلى تكافؤ</w:t>
      </w:r>
      <w:r w:rsidR="00180122">
        <w:rPr>
          <w:rFonts w:cs="Traditional Arabic" w:hint="cs"/>
          <w:sz w:val="32"/>
          <w:szCs w:val="32"/>
          <w:rtl/>
          <w:lang w:bidi="ar-MA"/>
        </w:rPr>
        <w:t xml:space="preserve"> براغماتي، دلالي ووظيفي أضف إلى ذلك أنها استلهمت فكرة البراغماتية في الخطاب من مقاربة </w:t>
      </w:r>
      <w:r w:rsidR="008014E2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هاليداي </w:t>
      </w:r>
      <w:r w:rsidR="008014E2" w:rsidRPr="008014E2">
        <w:rPr>
          <w:rFonts w:cs="Traditional Arabic"/>
          <w:sz w:val="28"/>
          <w:szCs w:val="28"/>
          <w:lang w:bidi="ar-MA"/>
        </w:rPr>
        <w:t>(Haliday)</w:t>
      </w:r>
      <w:r w:rsidR="008014E2">
        <w:rPr>
          <w:rFonts w:cs="Traditional Arabic" w:hint="cs"/>
          <w:sz w:val="28"/>
          <w:szCs w:val="28"/>
          <w:rtl/>
          <w:lang w:bidi="ar-MA"/>
        </w:rPr>
        <w:t>.</w:t>
      </w:r>
    </w:p>
    <w:p w:rsidR="00DF53D5" w:rsidRDefault="008014E2" w:rsidP="00DF53D5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28"/>
          <w:szCs w:val="28"/>
          <w:rtl/>
          <w:lang w:bidi="ar-MA"/>
        </w:rPr>
        <w:t xml:space="preserve">   اقترحت </w:t>
      </w:r>
      <w:r w:rsidRPr="008014E2">
        <w:rPr>
          <w:rFonts w:cs="Traditional Arabic" w:hint="cs"/>
          <w:b/>
          <w:bCs/>
          <w:sz w:val="28"/>
          <w:szCs w:val="28"/>
          <w:rtl/>
          <w:lang w:bidi="ar-MA"/>
        </w:rPr>
        <w:t>هاوس</w:t>
      </w:r>
      <w:r>
        <w:rPr>
          <w:rFonts w:cs="Traditional Arabic" w:hint="cs"/>
          <w:sz w:val="28"/>
          <w:szCs w:val="28"/>
          <w:rtl/>
          <w:lang w:bidi="ar-MA"/>
        </w:rPr>
        <w:t xml:space="preserve"> </w:t>
      </w:r>
      <w:r w:rsidR="00903FFD">
        <w:rPr>
          <w:rFonts w:cs="Traditional Arabic" w:hint="cs"/>
          <w:sz w:val="32"/>
          <w:szCs w:val="32"/>
          <w:rtl/>
          <w:lang w:bidi="ar-MA"/>
        </w:rPr>
        <w:t xml:space="preserve">سنة </w:t>
      </w:r>
      <w:r w:rsidR="00903FFD" w:rsidRPr="00903FFD">
        <w:rPr>
          <w:rFonts w:cs="Traditional Arabic" w:hint="cs"/>
          <w:sz w:val="28"/>
          <w:szCs w:val="28"/>
          <w:rtl/>
          <w:lang w:bidi="ar-MA"/>
        </w:rPr>
        <w:t>1977</w:t>
      </w:r>
      <w:r w:rsidR="00180122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903FFD">
        <w:rPr>
          <w:rFonts w:cs="Traditional Arabic" w:hint="cs"/>
          <w:sz w:val="32"/>
          <w:szCs w:val="32"/>
          <w:rtl/>
          <w:lang w:bidi="ar-MA"/>
        </w:rPr>
        <w:t xml:space="preserve">نمطا لتقييم </w:t>
      </w:r>
      <w:r w:rsidR="00DF53D5">
        <w:rPr>
          <w:rFonts w:cs="Traditional Arabic" w:hint="cs"/>
          <w:sz w:val="32"/>
          <w:szCs w:val="32"/>
          <w:rtl/>
          <w:lang w:bidi="ar-MA"/>
        </w:rPr>
        <w:t>نوعية الترجمة فهي تميز بين نوعين من الترجمة</w:t>
      </w:r>
      <w:r w:rsidR="00EC5791">
        <w:rPr>
          <w:rStyle w:val="Appelnotedebasdep"/>
          <w:rFonts w:cs="Traditional Arabic"/>
          <w:sz w:val="32"/>
          <w:szCs w:val="32"/>
          <w:rtl/>
          <w:lang w:bidi="ar-MA"/>
        </w:rPr>
        <w:footnoteReference w:id="5"/>
      </w:r>
      <w:r w:rsidR="00DF53D5">
        <w:rPr>
          <w:rFonts w:cs="Traditional Arabic" w:hint="cs"/>
          <w:sz w:val="32"/>
          <w:szCs w:val="32"/>
          <w:rtl/>
          <w:lang w:bidi="ar-MA"/>
        </w:rPr>
        <w:t>:</w:t>
      </w:r>
    </w:p>
    <w:p w:rsidR="009972D1" w:rsidRPr="009972D1" w:rsidRDefault="00DF53D5" w:rsidP="00EC5791">
      <w:pPr>
        <w:pStyle w:val="Paragraphedeliste"/>
        <w:numPr>
          <w:ilvl w:val="0"/>
          <w:numId w:val="4"/>
        </w:numPr>
        <w:bidi/>
        <w:spacing w:line="276" w:lineRule="auto"/>
        <w:rPr>
          <w:rFonts w:cs="Traditional Arabic"/>
          <w:b/>
          <w:bCs/>
          <w:color w:val="984806" w:themeColor="accent6" w:themeShade="80"/>
          <w:sz w:val="32"/>
          <w:szCs w:val="32"/>
          <w:lang w:bidi="ar-MA"/>
        </w:rPr>
      </w:pPr>
      <w:r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 xml:space="preserve">الترجمة الصريحة </w:t>
      </w:r>
      <w:r w:rsidRPr="006E23E2">
        <w:rPr>
          <w:rFonts w:cs="Traditional Arabic"/>
          <w:color w:val="984806" w:themeColor="accent6" w:themeShade="80"/>
          <w:sz w:val="28"/>
          <w:szCs w:val="28"/>
          <w:lang w:bidi="ar-MA"/>
        </w:rPr>
        <w:t>(Over Translation)</w:t>
      </w:r>
      <w:r w:rsidR="006E23E2" w:rsidRPr="004665D9">
        <w:rPr>
          <w:rFonts w:cs="Traditional Arabic" w:hint="cs"/>
          <w:b/>
          <w:bCs/>
          <w:color w:val="984806" w:themeColor="accent6" w:themeShade="80"/>
          <w:sz w:val="28"/>
          <w:szCs w:val="28"/>
          <w:rtl/>
          <w:lang w:bidi="ar-MA"/>
        </w:rPr>
        <w:t>:</w:t>
      </w:r>
      <w:r w:rsidR="006E23E2">
        <w:rPr>
          <w:rFonts w:cs="Traditional Arabic" w:hint="cs"/>
          <w:color w:val="984806" w:themeColor="accent6" w:themeShade="80"/>
          <w:sz w:val="28"/>
          <w:szCs w:val="28"/>
          <w:rtl/>
          <w:lang w:bidi="ar-MA"/>
        </w:rPr>
        <w:t xml:space="preserve"> </w:t>
      </w:r>
      <w:r w:rsidR="006E23E2" w:rsidRPr="006E23E2">
        <w:rPr>
          <w:rFonts w:cs="Traditional Arabic" w:hint="cs"/>
          <w:sz w:val="32"/>
          <w:szCs w:val="32"/>
          <w:rtl/>
          <w:lang w:bidi="ar-MA"/>
        </w:rPr>
        <w:t>ف</w:t>
      </w:r>
      <w:r w:rsidR="006E23E2">
        <w:rPr>
          <w:rFonts w:cs="Traditional Arabic" w:hint="cs"/>
          <w:sz w:val="32"/>
          <w:szCs w:val="32"/>
          <w:rtl/>
          <w:lang w:bidi="ar-MA"/>
        </w:rPr>
        <w:t xml:space="preserve">هذه </w:t>
      </w:r>
      <w:r w:rsidR="006E23E2" w:rsidRPr="006E23E2">
        <w:rPr>
          <w:rFonts w:cs="Traditional Arabic" w:hint="cs"/>
          <w:sz w:val="32"/>
          <w:szCs w:val="32"/>
          <w:rtl/>
          <w:lang w:bidi="ar-MA"/>
        </w:rPr>
        <w:t>الترجمة</w:t>
      </w:r>
      <w:r w:rsidR="006E23E2">
        <w:rPr>
          <w:rFonts w:cs="Traditional Arabic" w:hint="cs"/>
          <w:sz w:val="32"/>
          <w:szCs w:val="32"/>
          <w:rtl/>
          <w:lang w:bidi="ar-MA"/>
        </w:rPr>
        <w:t xml:space="preserve"> تحيل إلى الاستراتيجية المستعملة في الترجمة إذا كان النص الهدف لا يتمتع بنفس </w:t>
      </w:r>
      <w:r w:rsidR="001E0AA3">
        <w:rPr>
          <w:rFonts w:cs="Traditional Arabic" w:hint="cs"/>
          <w:sz w:val="32"/>
          <w:szCs w:val="32"/>
          <w:rtl/>
          <w:lang w:bidi="ar-MA"/>
        </w:rPr>
        <w:t xml:space="preserve">الإطار الذي يتمتع به النص الأصل. فالترجمة الصريحة تكون مكافئة للنص الأصل على مستوى اللغة وكذلك مستوى لغة النص، وكمثال على هذه الترجمة نذكر النصوص السياسية </w:t>
      </w:r>
      <w:r w:rsidR="004B79B3">
        <w:rPr>
          <w:rFonts w:cs="Traditional Arabic" w:hint="cs"/>
          <w:sz w:val="32"/>
          <w:szCs w:val="32"/>
          <w:rtl/>
          <w:lang w:bidi="ar-MA"/>
        </w:rPr>
        <w:t>والأدبية.</w:t>
      </w:r>
    </w:p>
    <w:p w:rsidR="00F32732" w:rsidRPr="00F32732" w:rsidRDefault="009972D1" w:rsidP="004665D9">
      <w:pPr>
        <w:pStyle w:val="Paragraphedeliste"/>
        <w:numPr>
          <w:ilvl w:val="0"/>
          <w:numId w:val="4"/>
        </w:numPr>
        <w:bidi/>
        <w:spacing w:line="276" w:lineRule="auto"/>
        <w:rPr>
          <w:rFonts w:cs="Traditional Arabic"/>
          <w:b/>
          <w:bCs/>
          <w:color w:val="984806" w:themeColor="accent6" w:themeShade="80"/>
          <w:sz w:val="32"/>
          <w:szCs w:val="32"/>
          <w:lang w:bidi="ar-MA"/>
        </w:rPr>
      </w:pPr>
      <w:r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 xml:space="preserve">الترجمة الضمنية </w:t>
      </w:r>
      <w:r w:rsidR="005A49D0" w:rsidRPr="006E23E2">
        <w:rPr>
          <w:rFonts w:cs="Traditional Arabic"/>
          <w:color w:val="984806" w:themeColor="accent6" w:themeShade="80"/>
          <w:sz w:val="28"/>
          <w:szCs w:val="28"/>
          <w:lang w:bidi="ar-MA"/>
        </w:rPr>
        <w:t>(</w:t>
      </w:r>
      <w:r w:rsidR="005A49D0">
        <w:rPr>
          <w:rFonts w:cs="Traditional Arabic"/>
          <w:color w:val="984806" w:themeColor="accent6" w:themeShade="80"/>
          <w:sz w:val="28"/>
          <w:szCs w:val="28"/>
          <w:lang w:bidi="ar-MA"/>
        </w:rPr>
        <w:t>Co</w:t>
      </w:r>
      <w:r w:rsidR="005A49D0" w:rsidRPr="006E23E2">
        <w:rPr>
          <w:rFonts w:cs="Traditional Arabic"/>
          <w:color w:val="984806" w:themeColor="accent6" w:themeShade="80"/>
          <w:sz w:val="28"/>
          <w:szCs w:val="28"/>
          <w:lang w:bidi="ar-MA"/>
        </w:rPr>
        <w:t>ver Translation)</w:t>
      </w:r>
      <w:r w:rsidR="004665D9" w:rsidRPr="004665D9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>:</w:t>
      </w:r>
      <w:r w:rsidR="006E23E2" w:rsidRPr="006E23E2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E56BF3">
        <w:rPr>
          <w:rFonts w:cs="Traditional Arabic" w:hint="cs"/>
          <w:sz w:val="32"/>
          <w:szCs w:val="32"/>
          <w:rtl/>
          <w:lang w:bidi="ar-MA"/>
        </w:rPr>
        <w:t xml:space="preserve">هذه الترجمة تحيل إلى </w:t>
      </w:r>
      <w:r w:rsidR="0037295B">
        <w:rPr>
          <w:rFonts w:cs="Traditional Arabic" w:hint="cs"/>
          <w:sz w:val="32"/>
          <w:szCs w:val="32"/>
          <w:rtl/>
          <w:lang w:bidi="ar-MA"/>
        </w:rPr>
        <w:t xml:space="preserve">ترجمة تكون مكافئة لعناصر النص ومكافئة </w:t>
      </w:r>
      <w:r w:rsidR="00E22CD6">
        <w:rPr>
          <w:rFonts w:cs="Traditional Arabic" w:hint="cs"/>
          <w:sz w:val="32"/>
          <w:szCs w:val="32"/>
          <w:rtl/>
          <w:lang w:bidi="ar-MA"/>
        </w:rPr>
        <w:t xml:space="preserve">على مستوى وظيفة النص </w:t>
      </w:r>
      <w:r w:rsidR="00F32732">
        <w:rPr>
          <w:rFonts w:cs="Traditional Arabic" w:hint="cs"/>
          <w:sz w:val="32"/>
          <w:szCs w:val="32"/>
          <w:rtl/>
          <w:lang w:bidi="ar-MA"/>
        </w:rPr>
        <w:t>وكذلك على مستوى الخطاب كاستعمال النصوص السياسية مثلا.</w:t>
      </w:r>
    </w:p>
    <w:p w:rsidR="00DD1683" w:rsidRDefault="00F32732" w:rsidP="00CE0A53">
      <w:pPr>
        <w:bidi/>
        <w:spacing w:line="276" w:lineRule="auto"/>
        <w:jc w:val="both"/>
        <w:rPr>
          <w:rFonts w:cs="Traditional Arabic"/>
          <w:sz w:val="32"/>
          <w:szCs w:val="32"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تجدر الإشارة </w:t>
      </w:r>
      <w:r w:rsidR="00487D64">
        <w:rPr>
          <w:rFonts w:cs="Traditional Arabic" w:hint="cs"/>
          <w:sz w:val="32"/>
          <w:szCs w:val="32"/>
          <w:rtl/>
          <w:lang w:bidi="ar-MA"/>
        </w:rPr>
        <w:t xml:space="preserve">أنه في إطار النمط التحليلي والبراغماتي </w:t>
      </w:r>
      <w:r w:rsidR="00487D64">
        <w:rPr>
          <w:rFonts w:cs="Traditional Arabic" w:hint="cs"/>
          <w:b/>
          <w:bCs/>
          <w:sz w:val="32"/>
          <w:szCs w:val="32"/>
          <w:rtl/>
          <w:lang w:bidi="ar-MA"/>
        </w:rPr>
        <w:t>لهاوس</w:t>
      </w:r>
      <w:r w:rsidR="00B96D22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="00B96D22" w:rsidRPr="00B96D22">
        <w:rPr>
          <w:rFonts w:cs="Traditional Arabic" w:hint="cs"/>
          <w:sz w:val="32"/>
          <w:szCs w:val="32"/>
          <w:rtl/>
          <w:lang w:bidi="ar-MA"/>
        </w:rPr>
        <w:t>تكون</w:t>
      </w:r>
      <w:r w:rsidR="00B96D22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="00C13FC2" w:rsidRPr="00C13FC2">
        <w:rPr>
          <w:rFonts w:cs="Traditional Arabic" w:hint="cs"/>
          <w:sz w:val="32"/>
          <w:szCs w:val="32"/>
          <w:rtl/>
          <w:lang w:bidi="ar-MA"/>
        </w:rPr>
        <w:t>علاقة</w:t>
      </w:r>
      <w:r w:rsidR="00C13FC2">
        <w:rPr>
          <w:rFonts w:cs="Traditional Arabic" w:hint="cs"/>
          <w:sz w:val="32"/>
          <w:szCs w:val="32"/>
          <w:rtl/>
          <w:lang w:bidi="ar-MA"/>
        </w:rPr>
        <w:t xml:space="preserve"> التكافؤ محددة بالتكافؤ الوظيفي أي أن</w:t>
      </w:r>
      <w:r w:rsidR="007D767D">
        <w:rPr>
          <w:rFonts w:cs="Traditional Arabic" w:hint="cs"/>
          <w:sz w:val="32"/>
          <w:szCs w:val="32"/>
          <w:rtl/>
          <w:lang w:bidi="ar-MA"/>
        </w:rPr>
        <w:t xml:space="preserve"> تكون للترجمة وظيفة مماثلة لوظيفة النص الأصل، ومن أجل ذلك ينبغي </w:t>
      </w:r>
      <w:r w:rsidR="001F6004">
        <w:rPr>
          <w:rFonts w:cs="Traditional Arabic" w:hint="cs"/>
          <w:sz w:val="32"/>
          <w:szCs w:val="32"/>
          <w:rtl/>
          <w:lang w:bidi="ar-MA"/>
        </w:rPr>
        <w:t xml:space="preserve">على الترجمة استخدام نفس المعنى البراغماتي لتحقيق هذه الوظيفة المماثلة. فضلا عن ذلك ترى </w:t>
      </w:r>
      <w:r w:rsidR="001F6004" w:rsidRPr="0040568D">
        <w:rPr>
          <w:rFonts w:cs="Traditional Arabic" w:hint="cs"/>
          <w:b/>
          <w:bCs/>
          <w:sz w:val="32"/>
          <w:szCs w:val="32"/>
          <w:rtl/>
          <w:lang w:bidi="ar-MA"/>
        </w:rPr>
        <w:t>هاوس</w:t>
      </w:r>
      <w:r w:rsidR="001F6004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F66738">
        <w:rPr>
          <w:rFonts w:cs="Traditional Arabic" w:hint="cs"/>
          <w:sz w:val="32"/>
          <w:szCs w:val="32"/>
          <w:rtl/>
          <w:lang w:bidi="ar-MA"/>
        </w:rPr>
        <w:t xml:space="preserve">أن التكافؤ </w:t>
      </w:r>
      <w:r w:rsidR="0040568D">
        <w:rPr>
          <w:rFonts w:cs="Traditional Arabic" w:hint="cs"/>
          <w:sz w:val="32"/>
          <w:szCs w:val="32"/>
          <w:rtl/>
          <w:lang w:bidi="ar-MA"/>
        </w:rPr>
        <w:t>في الترجمة يقوم على أساس الرابطة ال</w:t>
      </w:r>
      <w:r w:rsidR="006C4AB8">
        <w:rPr>
          <w:rFonts w:cs="Traditional Arabic" w:hint="cs"/>
          <w:sz w:val="32"/>
          <w:szCs w:val="32"/>
          <w:rtl/>
          <w:lang w:bidi="ar-MA"/>
        </w:rPr>
        <w:t>م</w:t>
      </w:r>
      <w:r w:rsidR="0040568D">
        <w:rPr>
          <w:rFonts w:cs="Traditional Arabic" w:hint="cs"/>
          <w:sz w:val="32"/>
          <w:szCs w:val="32"/>
          <w:rtl/>
          <w:lang w:bidi="ar-MA"/>
        </w:rPr>
        <w:t>زدوجة</w:t>
      </w:r>
      <w:r w:rsidR="00CE0A53">
        <w:rPr>
          <w:rFonts w:cs="Traditional Arabic" w:hint="cs"/>
          <w:sz w:val="32"/>
          <w:szCs w:val="32"/>
          <w:rtl/>
          <w:lang w:bidi="ar-MA"/>
        </w:rPr>
        <w:t>؛ فالرابط الأول يتعلق بالنص الأصل، أما الثاني فله علاقة بالشروط التواصلية الخاصة بقارئ</w:t>
      </w:r>
      <w:r w:rsidR="006C4AB8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DE2383">
        <w:rPr>
          <w:rFonts w:cs="Traditional Arabic" w:hint="cs"/>
          <w:sz w:val="32"/>
          <w:szCs w:val="32"/>
          <w:rtl/>
          <w:lang w:bidi="ar-MA"/>
        </w:rPr>
        <w:t>النص الهدف وثقافته</w:t>
      </w:r>
      <w:r w:rsidR="00C309A8">
        <w:rPr>
          <w:rStyle w:val="Appelnotedebasdep"/>
          <w:rFonts w:cs="Traditional Arabic"/>
          <w:sz w:val="32"/>
          <w:szCs w:val="32"/>
          <w:rtl/>
          <w:lang w:bidi="ar-MA"/>
        </w:rPr>
        <w:footnoteReference w:id="6"/>
      </w:r>
      <w:r w:rsidR="00DE2383">
        <w:rPr>
          <w:rFonts w:cs="Traditional Arabic" w:hint="cs"/>
          <w:sz w:val="32"/>
          <w:szCs w:val="32"/>
          <w:rtl/>
          <w:lang w:bidi="ar-MA"/>
        </w:rPr>
        <w:t>.</w:t>
      </w:r>
      <w:r w:rsidR="00CE0A53">
        <w:rPr>
          <w:rFonts w:cs="Traditional Arabic" w:hint="cs"/>
          <w:sz w:val="32"/>
          <w:szCs w:val="32"/>
          <w:rtl/>
          <w:lang w:bidi="ar-MA"/>
        </w:rPr>
        <w:t xml:space="preserve"> </w:t>
      </w:r>
    </w:p>
    <w:p w:rsidR="00AF6546" w:rsidRDefault="00DD1683" w:rsidP="00DD1683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/>
          <w:sz w:val="32"/>
          <w:szCs w:val="32"/>
          <w:lang w:bidi="ar-MA"/>
        </w:rPr>
        <w:t xml:space="preserve">  </w:t>
      </w:r>
      <w:r>
        <w:rPr>
          <w:rFonts w:cs="Traditional Arabic" w:hint="cs"/>
          <w:sz w:val="32"/>
          <w:szCs w:val="32"/>
          <w:rtl/>
          <w:lang w:bidi="ar-MA"/>
        </w:rPr>
        <w:t xml:space="preserve">أما فيما يخص التكافؤات المبنية </w:t>
      </w:r>
      <w:r w:rsidR="003F13C1">
        <w:rPr>
          <w:rFonts w:cs="Traditional Arabic" w:hint="cs"/>
          <w:sz w:val="32"/>
          <w:szCs w:val="32"/>
          <w:rtl/>
          <w:lang w:bidi="ar-MA"/>
        </w:rPr>
        <w:t xml:space="preserve">على أساس الشكل وبنية النص ترى </w:t>
      </w:r>
      <w:r w:rsidR="003F13C1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هاوس </w:t>
      </w:r>
      <w:r w:rsidR="002E713B">
        <w:rPr>
          <w:rFonts w:cs="Traditional Arabic" w:hint="cs"/>
          <w:sz w:val="32"/>
          <w:szCs w:val="32"/>
          <w:rtl/>
          <w:lang w:bidi="ar-MA"/>
        </w:rPr>
        <w:t xml:space="preserve">أنها أصبحت </w:t>
      </w:r>
      <w:r w:rsidR="008968B7">
        <w:rPr>
          <w:rFonts w:cs="Traditional Arabic" w:hint="cs"/>
          <w:sz w:val="32"/>
          <w:szCs w:val="32"/>
          <w:rtl/>
          <w:lang w:bidi="ar-MA"/>
        </w:rPr>
        <w:t>غير مجدية ومرفوضة من طرف علماء الترجمة والسبب في ذلك مر</w:t>
      </w:r>
      <w:r w:rsidR="00C20479">
        <w:rPr>
          <w:rFonts w:cs="Traditional Arabic" w:hint="cs"/>
          <w:sz w:val="32"/>
          <w:szCs w:val="32"/>
          <w:rtl/>
          <w:lang w:bidi="ar-MA"/>
        </w:rPr>
        <w:t>ّ</w:t>
      </w:r>
      <w:r w:rsidR="008968B7">
        <w:rPr>
          <w:rFonts w:cs="Traditional Arabic" w:hint="cs"/>
          <w:sz w:val="32"/>
          <w:szCs w:val="32"/>
          <w:rtl/>
          <w:lang w:bidi="ar-MA"/>
        </w:rPr>
        <w:t xml:space="preserve">ده </w:t>
      </w:r>
      <w:r w:rsidR="00C20479">
        <w:rPr>
          <w:rFonts w:cs="Traditional Arabic" w:hint="cs"/>
          <w:sz w:val="32"/>
          <w:szCs w:val="32"/>
          <w:rtl/>
          <w:lang w:bidi="ar-MA"/>
        </w:rPr>
        <w:t>إلى</w:t>
      </w:r>
      <w:r w:rsidR="008968B7">
        <w:rPr>
          <w:rFonts w:cs="Traditional Arabic" w:hint="cs"/>
          <w:sz w:val="32"/>
          <w:szCs w:val="32"/>
          <w:rtl/>
          <w:lang w:bidi="ar-MA"/>
        </w:rPr>
        <w:t xml:space="preserve"> أن التعريفات ا</w:t>
      </w:r>
      <w:r w:rsidR="0057558C">
        <w:rPr>
          <w:rFonts w:cs="Traditional Arabic" w:hint="cs"/>
          <w:sz w:val="32"/>
          <w:szCs w:val="32"/>
          <w:rtl/>
          <w:lang w:bidi="ar-MA"/>
        </w:rPr>
        <w:t xml:space="preserve">لقائمة على أساس التشابه الشكلي والنحوي أو المعجمي. فقياس التكافؤ على أساس </w:t>
      </w:r>
      <w:r w:rsidR="00AF6546">
        <w:rPr>
          <w:rFonts w:cs="Traditional Arabic" w:hint="cs"/>
          <w:sz w:val="32"/>
          <w:szCs w:val="32"/>
          <w:rtl/>
          <w:lang w:bidi="ar-MA"/>
        </w:rPr>
        <w:t>لغوي لم يعد ذا قيمة، لهذا نجد التكافؤات الأخرى كالتكافؤ الوظيفي والبراغماتي اعتمدتها اللسانيات التقابلية لوقت طويل لأنها كانت مركزة نحو الخطاب وليس نحو البنية اللغوية أو الشكل.</w:t>
      </w:r>
    </w:p>
    <w:p w:rsidR="00AF6546" w:rsidRDefault="00AF6546" w:rsidP="00AF6546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</w:p>
    <w:p w:rsidR="00AF6546" w:rsidRDefault="00AF6546" w:rsidP="00AF6546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</w:p>
    <w:p w:rsidR="0057558C" w:rsidRDefault="00AF6546" w:rsidP="006E38AB">
      <w:pPr>
        <w:pStyle w:val="Paragraphedeliste"/>
        <w:numPr>
          <w:ilvl w:val="0"/>
          <w:numId w:val="3"/>
        </w:numPr>
        <w:bidi/>
        <w:spacing w:line="276" w:lineRule="auto"/>
        <w:rPr>
          <w:rFonts w:cs="Traditional Arabic"/>
          <w:b/>
          <w:bCs/>
          <w:color w:val="984806" w:themeColor="accent6" w:themeShade="80"/>
          <w:sz w:val="32"/>
          <w:szCs w:val="32"/>
          <w:lang w:bidi="ar-MA"/>
        </w:rPr>
      </w:pPr>
      <w:r w:rsidRPr="00AF6546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lastRenderedPageBreak/>
        <w:t xml:space="preserve">التكافؤ عند بيكر </w:t>
      </w:r>
      <w:r w:rsidRPr="00AF6546">
        <w:rPr>
          <w:rFonts w:cs="Traditional Arabic"/>
          <w:b/>
          <w:bCs/>
          <w:color w:val="984806" w:themeColor="accent6" w:themeShade="80"/>
          <w:sz w:val="28"/>
          <w:szCs w:val="28"/>
          <w:lang w:bidi="ar-MA"/>
        </w:rPr>
        <w:t>(B</w:t>
      </w:r>
      <w:r w:rsidR="006E38AB">
        <w:rPr>
          <w:rFonts w:cs="Traditional Arabic"/>
          <w:b/>
          <w:bCs/>
          <w:color w:val="984806" w:themeColor="accent6" w:themeShade="80"/>
          <w:sz w:val="28"/>
          <w:szCs w:val="28"/>
          <w:lang w:bidi="ar-MA"/>
        </w:rPr>
        <w:t>a</w:t>
      </w:r>
      <w:r w:rsidRPr="00AF6546">
        <w:rPr>
          <w:rFonts w:cs="Traditional Arabic"/>
          <w:b/>
          <w:bCs/>
          <w:color w:val="984806" w:themeColor="accent6" w:themeShade="80"/>
          <w:sz w:val="28"/>
          <w:szCs w:val="28"/>
          <w:lang w:bidi="ar-MA"/>
        </w:rPr>
        <w:t>ker)</w:t>
      </w:r>
      <w:r w:rsidRPr="00AF6546">
        <w:rPr>
          <w:rFonts w:cs="Traditional Arabic" w:hint="cs"/>
          <w:b/>
          <w:bCs/>
          <w:color w:val="984806" w:themeColor="accent6" w:themeShade="80"/>
          <w:sz w:val="28"/>
          <w:szCs w:val="28"/>
          <w:rtl/>
          <w:lang w:bidi="ar-MA"/>
        </w:rPr>
        <w:t>:</w:t>
      </w:r>
      <w:r w:rsidR="0057558C" w:rsidRPr="00AF6546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 xml:space="preserve"> </w:t>
      </w:r>
    </w:p>
    <w:p w:rsidR="008C455C" w:rsidRDefault="000D68D2" w:rsidP="003D1A5C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/>
          <w:sz w:val="32"/>
          <w:szCs w:val="32"/>
          <w:lang w:bidi="ar-MA"/>
        </w:rPr>
        <w:t xml:space="preserve">   </w:t>
      </w:r>
      <w:r w:rsidR="008C455C" w:rsidRPr="00F4587D">
        <w:rPr>
          <w:rFonts w:cs="Traditional Arabic" w:hint="cs"/>
          <w:sz w:val="32"/>
          <w:szCs w:val="32"/>
          <w:rtl/>
          <w:lang w:bidi="ar-MA"/>
        </w:rPr>
        <w:t>تعتبر</w:t>
      </w:r>
      <w:r w:rsidR="00F4587D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8C455C" w:rsidRPr="000D68D2">
        <w:rPr>
          <w:rFonts w:cs="Traditional Arabic" w:hint="cs"/>
          <w:b/>
          <w:bCs/>
          <w:sz w:val="32"/>
          <w:szCs w:val="32"/>
          <w:rtl/>
          <w:lang w:bidi="ar-MA"/>
        </w:rPr>
        <w:t>بيكر</w:t>
      </w:r>
      <w:r w:rsidR="008C455C">
        <w:rPr>
          <w:rFonts w:cs="Traditional Arabic" w:hint="cs"/>
          <w:sz w:val="32"/>
          <w:szCs w:val="32"/>
          <w:rtl/>
          <w:lang w:bidi="ar-MA"/>
        </w:rPr>
        <w:t xml:space="preserve"> من علماء الترجمة المؤيدين لمفهوم التكافؤ</w:t>
      </w:r>
      <w:r>
        <w:rPr>
          <w:rFonts w:cs="Traditional Arabic" w:hint="cs"/>
          <w:sz w:val="32"/>
          <w:szCs w:val="32"/>
          <w:rtl/>
          <w:lang w:bidi="ar-MA"/>
        </w:rPr>
        <w:t>،</w:t>
      </w:r>
      <w:r w:rsidR="008C455C">
        <w:rPr>
          <w:rFonts w:cs="Traditional Arabic" w:hint="cs"/>
          <w:sz w:val="32"/>
          <w:szCs w:val="32"/>
          <w:rtl/>
          <w:lang w:bidi="ar-MA"/>
        </w:rPr>
        <w:t xml:space="preserve"> فهي تنظر إليه انطلاقا من مقاربة لسانية ت</w:t>
      </w:r>
      <w:r w:rsidR="00070052">
        <w:rPr>
          <w:rFonts w:cs="Traditional Arabic" w:hint="cs"/>
          <w:sz w:val="32"/>
          <w:szCs w:val="32"/>
          <w:rtl/>
          <w:lang w:bidi="ar-MA"/>
        </w:rPr>
        <w:t>واصلية وترى أن</w:t>
      </w:r>
      <w:r w:rsidR="008C455C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070052">
        <w:rPr>
          <w:rFonts w:cs="Traditional Arabic" w:hint="cs"/>
          <w:sz w:val="32"/>
          <w:szCs w:val="32"/>
          <w:rtl/>
          <w:lang w:bidi="ar-MA"/>
        </w:rPr>
        <w:t xml:space="preserve">المترجمون يستعملون التكافؤ أكثر من غيرهم. </w:t>
      </w:r>
      <w:r>
        <w:rPr>
          <w:rFonts w:cs="Traditional Arabic" w:hint="cs"/>
          <w:sz w:val="32"/>
          <w:szCs w:val="32"/>
          <w:rtl/>
          <w:lang w:bidi="ar-MA"/>
        </w:rPr>
        <w:t>و</w:t>
      </w:r>
      <w:r w:rsidR="00070052">
        <w:rPr>
          <w:rFonts w:cs="Traditional Arabic" w:hint="cs"/>
          <w:sz w:val="32"/>
          <w:szCs w:val="32"/>
          <w:rtl/>
          <w:lang w:bidi="ar-MA"/>
        </w:rPr>
        <w:t>أضافت</w:t>
      </w: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Pr="000D68D2">
        <w:rPr>
          <w:rFonts w:cs="Traditional Arabic" w:hint="cs"/>
          <w:b/>
          <w:bCs/>
          <w:sz w:val="32"/>
          <w:szCs w:val="32"/>
          <w:rtl/>
          <w:lang w:bidi="ar-MA"/>
        </w:rPr>
        <w:t>بيكر</w:t>
      </w:r>
      <w:r w:rsidR="00070052">
        <w:rPr>
          <w:rFonts w:cs="Traditional Arabic" w:hint="cs"/>
          <w:sz w:val="32"/>
          <w:szCs w:val="32"/>
          <w:rtl/>
          <w:lang w:bidi="ar-MA"/>
        </w:rPr>
        <w:t xml:space="preserve"> إلى مفهوم التكافؤ ما تسميه بالتشابه في تدفق ال</w:t>
      </w:r>
      <w:r w:rsidR="00CB7889">
        <w:rPr>
          <w:rFonts w:cs="Traditional Arabic" w:hint="cs"/>
          <w:sz w:val="32"/>
          <w:szCs w:val="32"/>
          <w:rtl/>
          <w:lang w:bidi="ar-MA"/>
        </w:rPr>
        <w:t>معلو</w:t>
      </w:r>
      <w:r w:rsidR="00070052">
        <w:rPr>
          <w:rFonts w:cs="Traditional Arabic" w:hint="cs"/>
          <w:sz w:val="32"/>
          <w:szCs w:val="32"/>
          <w:rtl/>
          <w:lang w:bidi="ar-MA"/>
        </w:rPr>
        <w:t>مات</w:t>
      </w:r>
      <w:r w:rsidR="00CB7889">
        <w:rPr>
          <w:rFonts w:cs="Traditional Arabic" w:hint="cs"/>
          <w:sz w:val="32"/>
          <w:szCs w:val="32"/>
          <w:rtl/>
          <w:lang w:bidi="ar-MA"/>
        </w:rPr>
        <w:t xml:space="preserve"> بين النص الأصل والنص الهدف.</w:t>
      </w:r>
    </w:p>
    <w:p w:rsidR="00CB7889" w:rsidRDefault="000D68D2" w:rsidP="003D1A5C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</w:t>
      </w:r>
      <w:r w:rsidR="00CB7889">
        <w:rPr>
          <w:rFonts w:cs="Traditional Arabic" w:hint="cs"/>
          <w:sz w:val="32"/>
          <w:szCs w:val="32"/>
          <w:rtl/>
          <w:lang w:bidi="ar-MA"/>
        </w:rPr>
        <w:t xml:space="preserve">تقسم </w:t>
      </w:r>
      <w:r w:rsidR="00CB7889" w:rsidRPr="000D68D2">
        <w:rPr>
          <w:rFonts w:cs="Traditional Arabic" w:hint="cs"/>
          <w:b/>
          <w:bCs/>
          <w:sz w:val="32"/>
          <w:szCs w:val="32"/>
          <w:rtl/>
          <w:lang w:bidi="ar-MA"/>
        </w:rPr>
        <w:t>بيكر</w:t>
      </w:r>
      <w:r w:rsidR="00CB7889">
        <w:rPr>
          <w:rFonts w:cs="Traditional Arabic" w:hint="cs"/>
          <w:sz w:val="32"/>
          <w:szCs w:val="32"/>
          <w:rtl/>
          <w:lang w:bidi="ar-MA"/>
        </w:rPr>
        <w:t xml:space="preserve"> في كتابها </w:t>
      </w:r>
      <w:r w:rsidR="00CB7889" w:rsidRPr="00CB7889">
        <w:rPr>
          <w:rFonts w:cs="Traditional Arabic" w:hint="cs"/>
          <w:sz w:val="28"/>
          <w:szCs w:val="28"/>
          <w:rtl/>
          <w:lang w:bidi="ar-MA"/>
        </w:rPr>
        <w:t xml:space="preserve">(1992 </w:t>
      </w:r>
      <w:r w:rsidR="00CB7889" w:rsidRPr="00CB7889">
        <w:rPr>
          <w:rFonts w:cs="Traditional Arabic"/>
          <w:sz w:val="28"/>
          <w:szCs w:val="28"/>
          <w:lang w:bidi="ar-MA"/>
        </w:rPr>
        <w:t xml:space="preserve">(In </w:t>
      </w:r>
      <w:r>
        <w:rPr>
          <w:rFonts w:cs="Traditional Arabic"/>
          <w:sz w:val="28"/>
          <w:szCs w:val="28"/>
          <w:lang w:bidi="ar-MA"/>
        </w:rPr>
        <w:t>O</w:t>
      </w:r>
      <w:r w:rsidR="00CB7889" w:rsidRPr="00CB7889">
        <w:rPr>
          <w:rFonts w:cs="Traditional Arabic"/>
          <w:sz w:val="28"/>
          <w:szCs w:val="28"/>
          <w:lang w:bidi="ar-MA"/>
        </w:rPr>
        <w:t xml:space="preserve">ther </w:t>
      </w:r>
      <w:r>
        <w:rPr>
          <w:rFonts w:cs="Traditional Arabic"/>
          <w:sz w:val="28"/>
          <w:szCs w:val="28"/>
          <w:lang w:bidi="ar-MA"/>
        </w:rPr>
        <w:t>W</w:t>
      </w:r>
      <w:r w:rsidR="00CB7889" w:rsidRPr="00CB7889">
        <w:rPr>
          <w:rFonts w:cs="Traditional Arabic"/>
          <w:sz w:val="28"/>
          <w:szCs w:val="28"/>
          <w:lang w:bidi="ar-MA"/>
        </w:rPr>
        <w:t xml:space="preserve">ords: </w:t>
      </w:r>
      <w:r>
        <w:rPr>
          <w:rFonts w:cs="Traditional Arabic"/>
          <w:sz w:val="28"/>
          <w:szCs w:val="28"/>
          <w:lang w:bidi="ar-MA"/>
        </w:rPr>
        <w:t>A</w:t>
      </w:r>
      <w:r w:rsidR="00CB7889" w:rsidRPr="00CB7889">
        <w:rPr>
          <w:rFonts w:cs="Traditional Arabic"/>
          <w:sz w:val="28"/>
          <w:szCs w:val="28"/>
          <w:lang w:bidi="ar-MA"/>
        </w:rPr>
        <w:t xml:space="preserve"> </w:t>
      </w:r>
      <w:r>
        <w:rPr>
          <w:rFonts w:cs="Traditional Arabic"/>
          <w:sz w:val="28"/>
          <w:szCs w:val="28"/>
          <w:lang w:bidi="ar-MA"/>
        </w:rPr>
        <w:t>C</w:t>
      </w:r>
      <w:r w:rsidR="00CB7889" w:rsidRPr="00CB7889">
        <w:rPr>
          <w:rFonts w:cs="Traditional Arabic"/>
          <w:sz w:val="28"/>
          <w:szCs w:val="28"/>
          <w:lang w:bidi="ar-MA"/>
        </w:rPr>
        <w:t xml:space="preserve">ourse </w:t>
      </w:r>
      <w:r>
        <w:rPr>
          <w:rFonts w:cs="Traditional Arabic"/>
          <w:sz w:val="28"/>
          <w:szCs w:val="28"/>
          <w:lang w:bidi="ar-MA"/>
        </w:rPr>
        <w:t>B</w:t>
      </w:r>
      <w:r w:rsidR="00CB7889" w:rsidRPr="00CB7889">
        <w:rPr>
          <w:rFonts w:cs="Traditional Arabic"/>
          <w:sz w:val="28"/>
          <w:szCs w:val="28"/>
          <w:lang w:bidi="ar-MA"/>
        </w:rPr>
        <w:t xml:space="preserve">ook on </w:t>
      </w:r>
      <w:r>
        <w:rPr>
          <w:rFonts w:cs="Traditional Arabic"/>
          <w:sz w:val="28"/>
          <w:szCs w:val="28"/>
          <w:lang w:bidi="ar-MA"/>
        </w:rPr>
        <w:t>T</w:t>
      </w:r>
      <w:r w:rsidR="00CB7889" w:rsidRPr="00CB7889">
        <w:rPr>
          <w:rFonts w:cs="Traditional Arabic"/>
          <w:sz w:val="28"/>
          <w:szCs w:val="28"/>
          <w:lang w:bidi="ar-MA"/>
        </w:rPr>
        <w:t>ranslation</w:t>
      </w:r>
      <w:r w:rsidR="00F4587D">
        <w:rPr>
          <w:rFonts w:cs="Traditional Arabic" w:hint="cs"/>
          <w:sz w:val="28"/>
          <w:szCs w:val="28"/>
          <w:rtl/>
          <w:lang w:bidi="ar-MA"/>
        </w:rPr>
        <w:t xml:space="preserve"> </w:t>
      </w:r>
      <w:r w:rsidR="00F4587D" w:rsidRPr="00F4587D">
        <w:rPr>
          <w:rFonts w:cs="Traditional Arabic" w:hint="cs"/>
          <w:sz w:val="32"/>
          <w:szCs w:val="32"/>
          <w:rtl/>
          <w:lang w:bidi="ar-MA"/>
        </w:rPr>
        <w:t>التكافؤ إلى أربعة</w:t>
      </w:r>
      <w:r w:rsidR="00F4587D">
        <w:rPr>
          <w:rFonts w:cs="Traditional Arabic" w:hint="cs"/>
          <w:sz w:val="28"/>
          <w:szCs w:val="28"/>
          <w:rtl/>
          <w:lang w:bidi="ar-MA"/>
        </w:rPr>
        <w:t xml:space="preserve"> </w:t>
      </w:r>
      <w:r w:rsidR="00F4587D" w:rsidRPr="00F4587D">
        <w:rPr>
          <w:rFonts w:cs="Traditional Arabic" w:hint="cs"/>
          <w:sz w:val="32"/>
          <w:szCs w:val="32"/>
          <w:rtl/>
          <w:lang w:bidi="ar-MA"/>
        </w:rPr>
        <w:t>أنواع</w:t>
      </w:r>
      <w:r w:rsidR="004E4181">
        <w:rPr>
          <w:rStyle w:val="Appelnotedebasdep"/>
          <w:rFonts w:cs="Traditional Arabic"/>
          <w:sz w:val="32"/>
          <w:szCs w:val="32"/>
          <w:rtl/>
          <w:lang w:bidi="ar-MA"/>
        </w:rPr>
        <w:footnoteReference w:id="7"/>
      </w:r>
      <w:r w:rsidR="00F4587D">
        <w:rPr>
          <w:rFonts w:cs="Traditional Arabic" w:hint="cs"/>
          <w:sz w:val="32"/>
          <w:szCs w:val="32"/>
          <w:rtl/>
          <w:lang w:bidi="ar-MA"/>
        </w:rPr>
        <w:t>:</w:t>
      </w:r>
    </w:p>
    <w:p w:rsidR="00F4587D" w:rsidRDefault="00DB0F7D" w:rsidP="003D1A5C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 w:rsidRPr="00DB0F7D">
        <w:rPr>
          <w:rFonts w:cs="Traditional Arabic"/>
          <w:b/>
          <w:bCs/>
          <w:color w:val="984806" w:themeColor="accent6" w:themeShade="80"/>
          <w:sz w:val="32"/>
          <w:szCs w:val="32"/>
          <w:lang w:bidi="ar-MA"/>
        </w:rPr>
        <w:t xml:space="preserve">      </w:t>
      </w:r>
      <w:r w:rsidR="00F4587D" w:rsidRPr="00DB0F7D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>أ_ التكافؤ على مستوى الكلمة</w:t>
      </w:r>
      <w:r w:rsidR="00F4587D" w:rsidRPr="00DB0F7D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 xml:space="preserve"> </w:t>
      </w:r>
      <w:r w:rsidR="00F4587D" w:rsidRPr="00DB0F7D">
        <w:rPr>
          <w:rFonts w:cs="Traditional Arabic"/>
          <w:color w:val="984806" w:themeColor="accent6" w:themeShade="80"/>
          <w:sz w:val="28"/>
          <w:szCs w:val="28"/>
          <w:lang w:bidi="ar-MA"/>
        </w:rPr>
        <w:t>(Equivalence au niveau du mot)</w:t>
      </w:r>
      <w:r w:rsidR="00F4587D">
        <w:rPr>
          <w:rFonts w:cs="Traditional Arabic" w:hint="cs"/>
          <w:sz w:val="28"/>
          <w:szCs w:val="28"/>
          <w:rtl/>
          <w:lang w:bidi="ar-MA"/>
        </w:rPr>
        <w:t xml:space="preserve"> </w:t>
      </w:r>
      <w:r w:rsidR="00F4587D">
        <w:rPr>
          <w:rFonts w:cs="Traditional Arabic" w:hint="cs"/>
          <w:sz w:val="32"/>
          <w:szCs w:val="32"/>
          <w:rtl/>
          <w:lang w:bidi="ar-MA"/>
        </w:rPr>
        <w:t>:</w:t>
      </w:r>
    </w:p>
    <w:p w:rsidR="00F4587D" w:rsidRDefault="00DB0F7D" w:rsidP="007732AB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/>
          <w:sz w:val="32"/>
          <w:szCs w:val="32"/>
          <w:lang w:bidi="ar-MA"/>
        </w:rPr>
        <w:t xml:space="preserve">   </w:t>
      </w:r>
      <w:r w:rsidR="00F4587D">
        <w:rPr>
          <w:rFonts w:cs="Traditional Arabic" w:hint="cs"/>
          <w:sz w:val="32"/>
          <w:szCs w:val="32"/>
          <w:rtl/>
          <w:lang w:bidi="ar-MA"/>
        </w:rPr>
        <w:t>يتحقق هذا التكافؤ على مستوى الكلمة وعلى المترجم البدء بهذا النوع أثناء تحليله للنص الأصل وأن يبحث عن الكلمة كوحدة لغوية ذات معنى</w:t>
      </w:r>
      <w:r w:rsidR="00281E61">
        <w:rPr>
          <w:rFonts w:cs="Traditional Arabic" w:hint="cs"/>
          <w:sz w:val="32"/>
          <w:szCs w:val="32"/>
          <w:rtl/>
          <w:lang w:bidi="ar-MA"/>
        </w:rPr>
        <w:t xml:space="preserve"> ثم بعد ذلك يستخرج الكلمة المكافئة لها في النص الهدف، فهي تعرف الكلمة على أنها </w:t>
      </w:r>
      <w:r w:rsidR="00751D7C">
        <w:rPr>
          <w:rFonts w:cs="Traditional Arabic" w:hint="cs"/>
          <w:sz w:val="32"/>
          <w:szCs w:val="32"/>
          <w:rtl/>
          <w:lang w:bidi="ar-MA"/>
        </w:rPr>
        <w:t>أصغر وحدة لغوية يمكن استعمالها</w:t>
      </w:r>
      <w:r w:rsidR="00A95C48">
        <w:rPr>
          <w:rFonts w:cs="Traditional Arabic" w:hint="cs"/>
          <w:sz w:val="32"/>
          <w:szCs w:val="32"/>
          <w:rtl/>
          <w:lang w:bidi="ar-MA"/>
        </w:rPr>
        <w:t>.</w:t>
      </w:r>
    </w:p>
    <w:p w:rsidR="00A95C48" w:rsidRDefault="00725E9C" w:rsidP="000B7732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 w:rsidRPr="00725E9C">
        <w:rPr>
          <w:rFonts w:cs="Traditional Arabic"/>
          <w:color w:val="984806" w:themeColor="accent6" w:themeShade="80"/>
          <w:sz w:val="32"/>
          <w:szCs w:val="32"/>
          <w:lang w:bidi="ar-MA"/>
        </w:rPr>
        <w:t xml:space="preserve">    </w:t>
      </w:r>
      <w:r w:rsidR="00A95C48" w:rsidRPr="00725E9C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>ب_ التكافؤ النحوي</w:t>
      </w:r>
      <w:r w:rsidR="00A95C48" w:rsidRPr="00725E9C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 xml:space="preserve"> </w:t>
      </w:r>
      <w:r w:rsidR="00A95C48" w:rsidRPr="00725E9C">
        <w:rPr>
          <w:rFonts w:cs="Traditional Arabic"/>
          <w:color w:val="984806" w:themeColor="accent6" w:themeShade="80"/>
          <w:sz w:val="28"/>
          <w:szCs w:val="28"/>
          <w:lang w:bidi="ar-MA"/>
        </w:rPr>
        <w:t>(Equivalence grammaticale)</w:t>
      </w:r>
      <w:r w:rsidR="00A95C48">
        <w:rPr>
          <w:rFonts w:cs="Traditional Arabic" w:hint="cs"/>
          <w:sz w:val="32"/>
          <w:szCs w:val="32"/>
          <w:rtl/>
          <w:lang w:bidi="ar-MA"/>
        </w:rPr>
        <w:t>:</w:t>
      </w:r>
    </w:p>
    <w:p w:rsidR="004D1099" w:rsidRDefault="000B7732" w:rsidP="000B7732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/>
          <w:sz w:val="32"/>
          <w:szCs w:val="32"/>
          <w:lang w:bidi="ar-MA"/>
        </w:rPr>
        <w:t xml:space="preserve">  </w:t>
      </w:r>
      <w:r w:rsidR="00A95C48">
        <w:rPr>
          <w:rFonts w:cs="Traditional Arabic" w:hint="cs"/>
          <w:sz w:val="32"/>
          <w:szCs w:val="32"/>
          <w:rtl/>
          <w:lang w:bidi="ar-MA"/>
        </w:rPr>
        <w:t>يحيل التكافؤ النحوي إلى التنوع الموجود بين اللغات الذي كثيرا ما يقف عقبة في وجه المترجم لأنه غالبا ما تختلف القواعد النحوية من لغة إلى أخرى</w:t>
      </w:r>
      <w:r>
        <w:rPr>
          <w:rFonts w:cs="Traditional Arabic" w:hint="cs"/>
          <w:sz w:val="32"/>
          <w:szCs w:val="32"/>
          <w:lang w:bidi="ar-MA"/>
        </w:rPr>
        <w:t>،</w:t>
      </w:r>
      <w:r w:rsidR="00A95C48">
        <w:rPr>
          <w:rFonts w:cs="Traditional Arabic" w:hint="cs"/>
          <w:sz w:val="32"/>
          <w:szCs w:val="32"/>
          <w:rtl/>
          <w:lang w:bidi="ar-MA"/>
        </w:rPr>
        <w:t xml:space="preserve"> وبغية تحقيق هذا النوع من التكافؤ ينبغي دراسة الفئة النحوية</w:t>
      </w:r>
      <w:r>
        <w:rPr>
          <w:rFonts w:cs="Traditional Arabic" w:hint="cs"/>
          <w:sz w:val="32"/>
          <w:szCs w:val="32"/>
          <w:rtl/>
          <w:lang w:bidi="ar-MA"/>
        </w:rPr>
        <w:t xml:space="preserve">       و</w:t>
      </w:r>
      <w:r w:rsidR="00A95C48">
        <w:rPr>
          <w:rFonts w:cs="Traditional Arabic" w:hint="cs"/>
          <w:sz w:val="32"/>
          <w:szCs w:val="32"/>
          <w:rtl/>
          <w:lang w:bidi="ar-MA"/>
        </w:rPr>
        <w:t>العدد</w:t>
      </w:r>
      <w:r>
        <w:rPr>
          <w:rFonts w:cs="Traditional Arabic" w:hint="cs"/>
          <w:sz w:val="32"/>
          <w:szCs w:val="32"/>
          <w:rtl/>
          <w:lang w:bidi="ar-MA"/>
        </w:rPr>
        <w:t xml:space="preserve"> و</w:t>
      </w:r>
      <w:r w:rsidR="00A95C48">
        <w:rPr>
          <w:rFonts w:cs="Traditional Arabic" w:hint="cs"/>
          <w:sz w:val="32"/>
          <w:szCs w:val="32"/>
          <w:rtl/>
          <w:lang w:bidi="ar-MA"/>
        </w:rPr>
        <w:t xml:space="preserve"> المذكر والمؤنث</w:t>
      </w:r>
      <w:r>
        <w:rPr>
          <w:rFonts w:cs="Traditional Arabic" w:hint="cs"/>
          <w:sz w:val="32"/>
          <w:szCs w:val="32"/>
          <w:rtl/>
          <w:lang w:bidi="ar-MA"/>
        </w:rPr>
        <w:t xml:space="preserve"> وكذا</w:t>
      </w:r>
      <w:r w:rsidR="00A95C48">
        <w:rPr>
          <w:rFonts w:cs="Traditional Arabic" w:hint="cs"/>
          <w:sz w:val="32"/>
          <w:szCs w:val="32"/>
          <w:rtl/>
          <w:lang w:bidi="ar-MA"/>
        </w:rPr>
        <w:t xml:space="preserve"> الأزمنة وقيمها وترتيب الكلمات.</w:t>
      </w:r>
    </w:p>
    <w:p w:rsidR="004D1099" w:rsidRDefault="0009699F" w:rsidP="00E03EF7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</w:t>
      </w:r>
      <w:r w:rsidR="004D1099" w:rsidRPr="00986F51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>ج_ التكافؤ النصي</w:t>
      </w:r>
      <w:r w:rsidR="004D1099" w:rsidRPr="0009699F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 xml:space="preserve"> </w:t>
      </w:r>
      <w:r w:rsidR="004D1099" w:rsidRPr="0009699F">
        <w:rPr>
          <w:rFonts w:cs="Traditional Arabic"/>
          <w:color w:val="984806" w:themeColor="accent6" w:themeShade="80"/>
          <w:sz w:val="28"/>
          <w:szCs w:val="28"/>
          <w:lang w:bidi="ar-MA"/>
        </w:rPr>
        <w:t>(Equivalence textuelle)</w:t>
      </w:r>
      <w:r w:rsidR="004D1099">
        <w:rPr>
          <w:rFonts w:cs="Traditional Arabic" w:hint="cs"/>
          <w:sz w:val="32"/>
          <w:szCs w:val="32"/>
          <w:rtl/>
          <w:lang w:bidi="ar-MA"/>
        </w:rPr>
        <w:t>:</w:t>
      </w:r>
    </w:p>
    <w:p w:rsidR="0001156C" w:rsidRDefault="00A54458" w:rsidP="00A54458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</w:t>
      </w:r>
      <w:r w:rsidR="004D1099">
        <w:rPr>
          <w:rFonts w:cs="Traditional Arabic" w:hint="cs"/>
          <w:sz w:val="32"/>
          <w:szCs w:val="32"/>
          <w:rtl/>
          <w:lang w:bidi="ar-MA"/>
        </w:rPr>
        <w:t>عندما يكون هناك تكافؤ</w:t>
      </w:r>
      <w:r w:rsidR="00FE0452">
        <w:rPr>
          <w:rFonts w:cs="Traditional Arabic" w:hint="cs"/>
          <w:sz w:val="32"/>
          <w:szCs w:val="32"/>
          <w:rtl/>
          <w:lang w:bidi="ar-MA"/>
        </w:rPr>
        <w:t xml:space="preserve"> في تدفق المعلومات وتناسق بنيوي بين النص الأصل والنص الهدف يضاف إلى ذلك ما</w:t>
      </w:r>
      <w:r w:rsidR="00403F9E">
        <w:rPr>
          <w:rFonts w:cs="Traditional Arabic"/>
          <w:sz w:val="32"/>
          <w:szCs w:val="32"/>
          <w:lang w:bidi="ar-MA"/>
        </w:rPr>
        <w:t xml:space="preserve"> </w:t>
      </w:r>
      <w:r w:rsidR="00FE0452">
        <w:rPr>
          <w:rFonts w:cs="Traditional Arabic" w:hint="cs"/>
          <w:sz w:val="32"/>
          <w:szCs w:val="32"/>
          <w:rtl/>
          <w:lang w:bidi="ar-MA"/>
        </w:rPr>
        <w:t>يلي</w:t>
      </w:r>
      <w:r w:rsidR="0001156C">
        <w:rPr>
          <w:rFonts w:cs="Traditional Arabic" w:hint="cs"/>
          <w:sz w:val="32"/>
          <w:szCs w:val="32"/>
          <w:rtl/>
          <w:lang w:bidi="ar-MA"/>
        </w:rPr>
        <w:t xml:space="preserve">: </w:t>
      </w:r>
      <w:r>
        <w:rPr>
          <w:rFonts w:cs="Traditional Arabic" w:hint="cs"/>
          <w:sz w:val="32"/>
          <w:szCs w:val="32"/>
          <w:rtl/>
          <w:lang w:bidi="ar-MA"/>
        </w:rPr>
        <w:t>-</w:t>
      </w:r>
      <w:r w:rsidR="0001156C">
        <w:rPr>
          <w:rFonts w:cs="Traditional Arabic" w:hint="cs"/>
          <w:sz w:val="32"/>
          <w:szCs w:val="32"/>
          <w:rtl/>
          <w:lang w:bidi="ar-MA"/>
        </w:rPr>
        <w:t xml:space="preserve"> قارئ النص الهدف (الوظيفة التواصلية) </w:t>
      </w:r>
      <w:r>
        <w:rPr>
          <w:rFonts w:cs="Traditional Arabic" w:hint="cs"/>
          <w:sz w:val="32"/>
          <w:szCs w:val="32"/>
          <w:rtl/>
          <w:lang w:bidi="ar-MA"/>
        </w:rPr>
        <w:t>-</w:t>
      </w:r>
      <w:r w:rsidR="0001156C">
        <w:rPr>
          <w:rFonts w:cs="Traditional Arabic" w:hint="cs"/>
          <w:sz w:val="32"/>
          <w:szCs w:val="32"/>
          <w:rtl/>
          <w:lang w:bidi="ar-MA"/>
        </w:rPr>
        <w:t xml:space="preserve"> هدف الترجمة </w:t>
      </w:r>
      <w:r>
        <w:rPr>
          <w:rFonts w:cs="Traditional Arabic" w:hint="cs"/>
          <w:sz w:val="32"/>
          <w:szCs w:val="32"/>
          <w:rtl/>
          <w:lang w:bidi="ar-MA"/>
        </w:rPr>
        <w:t>-</w:t>
      </w:r>
      <w:r w:rsidR="0001156C">
        <w:rPr>
          <w:rFonts w:cs="Traditional Arabic" w:hint="cs"/>
          <w:sz w:val="32"/>
          <w:szCs w:val="32"/>
          <w:rtl/>
          <w:lang w:bidi="ar-MA"/>
        </w:rPr>
        <w:t xml:space="preserve"> نوع النص.</w:t>
      </w:r>
    </w:p>
    <w:p w:rsidR="00403F9E" w:rsidRPr="000D3602" w:rsidRDefault="000D3602" w:rsidP="003D1A5C">
      <w:pPr>
        <w:bidi/>
        <w:spacing w:line="276" w:lineRule="auto"/>
        <w:jc w:val="both"/>
        <w:rPr>
          <w:rFonts w:cs="Traditional Arabic"/>
          <w:color w:val="984806" w:themeColor="accent6" w:themeShade="80"/>
          <w:sz w:val="32"/>
          <w:szCs w:val="32"/>
          <w:rtl/>
          <w:lang w:bidi="ar-MA"/>
        </w:rPr>
      </w:pPr>
      <w:r w:rsidRPr="000D3602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 xml:space="preserve">   </w:t>
      </w:r>
      <w:r w:rsidR="0001156C" w:rsidRPr="000D3602"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>د_ التكافؤ البراغماتي</w:t>
      </w:r>
      <w:r w:rsidR="00403F9E" w:rsidRPr="000D3602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 xml:space="preserve"> </w:t>
      </w:r>
      <w:r w:rsidR="00403F9E" w:rsidRPr="000D3602">
        <w:rPr>
          <w:rFonts w:cs="Traditional Arabic"/>
          <w:color w:val="984806" w:themeColor="accent6" w:themeShade="80"/>
          <w:sz w:val="28"/>
          <w:szCs w:val="28"/>
          <w:lang w:bidi="ar-MA"/>
        </w:rPr>
        <w:t>(Equivalence pragmatique)</w:t>
      </w:r>
      <w:r w:rsidR="00403F9E" w:rsidRPr="000D3602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>:</w:t>
      </w:r>
    </w:p>
    <w:p w:rsidR="00A95C48" w:rsidRPr="00A95C48" w:rsidRDefault="00D22A20" w:rsidP="00D22A20">
      <w:pPr>
        <w:bidi/>
        <w:spacing w:line="276" w:lineRule="auto"/>
        <w:jc w:val="both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</w:t>
      </w:r>
      <w:r w:rsidR="00625A02">
        <w:rPr>
          <w:rFonts w:cs="Traditional Arabic" w:hint="cs"/>
          <w:sz w:val="32"/>
          <w:szCs w:val="32"/>
          <w:rtl/>
          <w:lang w:bidi="ar-MA"/>
        </w:rPr>
        <w:t xml:space="preserve">بالنسبة </w:t>
      </w:r>
      <w:r w:rsidR="00625A02" w:rsidRPr="00D22A20">
        <w:rPr>
          <w:rFonts w:cs="Traditional Arabic" w:hint="cs"/>
          <w:b/>
          <w:bCs/>
          <w:sz w:val="32"/>
          <w:szCs w:val="32"/>
          <w:rtl/>
          <w:lang w:bidi="ar-MA"/>
        </w:rPr>
        <w:t>لبيكر</w:t>
      </w:r>
      <w:r w:rsidR="00625A02">
        <w:rPr>
          <w:rFonts w:cs="Traditional Arabic" w:hint="cs"/>
          <w:sz w:val="32"/>
          <w:szCs w:val="32"/>
          <w:rtl/>
          <w:lang w:bidi="ar-MA"/>
        </w:rPr>
        <w:t xml:space="preserve"> فإن التكافؤ البراغماتي له علاقة بالمعنى الضمني الذي ير</w:t>
      </w:r>
      <w:r>
        <w:rPr>
          <w:rFonts w:cs="Traditional Arabic" w:hint="cs"/>
          <w:sz w:val="32"/>
          <w:szCs w:val="32"/>
          <w:rtl/>
          <w:lang w:bidi="ar-MA"/>
        </w:rPr>
        <w:t xml:space="preserve">يد كاتب النص الأصل إبلاغه إلى </w:t>
      </w:r>
      <w:r w:rsidR="00625A02">
        <w:rPr>
          <w:rFonts w:cs="Traditional Arabic" w:hint="cs"/>
          <w:sz w:val="32"/>
          <w:szCs w:val="32"/>
          <w:rtl/>
          <w:lang w:bidi="ar-MA"/>
        </w:rPr>
        <w:t>قارئ</w:t>
      </w:r>
      <w:r>
        <w:rPr>
          <w:rFonts w:cs="Traditional Arabic" w:hint="cs"/>
          <w:sz w:val="32"/>
          <w:szCs w:val="32"/>
          <w:rtl/>
          <w:lang w:bidi="ar-MA"/>
        </w:rPr>
        <w:t>ه</w:t>
      </w:r>
      <w:r w:rsidR="00625A02">
        <w:rPr>
          <w:rFonts w:cs="Traditional Arabic" w:hint="cs"/>
          <w:sz w:val="32"/>
          <w:szCs w:val="32"/>
          <w:rtl/>
          <w:lang w:bidi="ar-MA"/>
        </w:rPr>
        <w:t xml:space="preserve"> وعلى المترجم إعادة صياغة مقصد الكاتب وإيصال</w:t>
      </w:r>
      <w:r>
        <w:rPr>
          <w:rFonts w:cs="Traditional Arabic" w:hint="cs"/>
          <w:sz w:val="32"/>
          <w:szCs w:val="32"/>
          <w:rtl/>
          <w:lang w:bidi="ar-MA"/>
        </w:rPr>
        <w:t>ه</w:t>
      </w:r>
      <w:r w:rsidR="00625A02">
        <w:rPr>
          <w:rFonts w:cs="Traditional Arabic" w:hint="cs"/>
          <w:sz w:val="32"/>
          <w:szCs w:val="32"/>
          <w:rtl/>
          <w:lang w:bidi="ar-MA"/>
        </w:rPr>
        <w:t xml:space="preserve"> إلى قارئ نص الهدف</w:t>
      </w:r>
      <w:r w:rsidR="00386B09">
        <w:rPr>
          <w:rFonts w:cs="Traditional Arabic" w:hint="cs"/>
          <w:sz w:val="32"/>
          <w:szCs w:val="32"/>
          <w:rtl/>
          <w:lang w:bidi="ar-MA"/>
        </w:rPr>
        <w:t>.</w:t>
      </w:r>
      <w:r w:rsidR="00625A02">
        <w:rPr>
          <w:rFonts w:cs="Traditional Arabic" w:hint="cs"/>
          <w:sz w:val="32"/>
          <w:szCs w:val="32"/>
          <w:rtl/>
          <w:lang w:bidi="ar-MA"/>
        </w:rPr>
        <w:t xml:space="preserve"> فالبراغماتية هي دراسة اللغة واستخدامها ودراسة المعنى</w:t>
      </w:r>
      <w:r w:rsidR="00A95C48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386B09">
        <w:rPr>
          <w:rFonts w:cs="Traditional Arabic" w:hint="cs"/>
          <w:sz w:val="32"/>
          <w:szCs w:val="32"/>
          <w:rtl/>
          <w:lang w:bidi="ar-MA"/>
        </w:rPr>
        <w:t>ليس كما يتولد من خلال النظام اللغوي وإنما كما ينتج عن تفاعل المشاركين في الوضعية التواصلية.</w:t>
      </w:r>
    </w:p>
    <w:p w:rsidR="00B0149F" w:rsidRPr="00CE0A53" w:rsidRDefault="0057558C" w:rsidP="003D1A5C">
      <w:pPr>
        <w:bidi/>
        <w:spacing w:line="276" w:lineRule="auto"/>
        <w:jc w:val="both"/>
        <w:rPr>
          <w:rFonts w:cs="Traditional Arabic"/>
          <w:sz w:val="32"/>
          <w:szCs w:val="32"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DD1683">
        <w:rPr>
          <w:rFonts w:cs="Traditional Arabic"/>
          <w:sz w:val="32"/>
          <w:szCs w:val="32"/>
          <w:lang w:bidi="ar-MA"/>
        </w:rPr>
        <w:t xml:space="preserve"> </w:t>
      </w:r>
      <w:r w:rsidR="00DD1683">
        <w:rPr>
          <w:rFonts w:cs="Traditional Arabic" w:hint="cs"/>
          <w:sz w:val="32"/>
          <w:szCs w:val="32"/>
          <w:lang w:bidi="ar-MA"/>
        </w:rPr>
        <w:t xml:space="preserve">  </w:t>
      </w:r>
      <w:r w:rsidR="00CE0A53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C13FC2" w:rsidRPr="00C13FC2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E56BF3" w:rsidRPr="00F32732">
        <w:rPr>
          <w:rFonts w:cs="Traditional Arabic" w:hint="cs"/>
          <w:sz w:val="32"/>
          <w:szCs w:val="32"/>
          <w:rtl/>
          <w:lang w:bidi="ar-MA"/>
        </w:rPr>
        <w:t xml:space="preserve"> </w:t>
      </w:r>
    </w:p>
    <w:p w:rsidR="006E23E2" w:rsidRPr="006E23E2" w:rsidRDefault="006E23E2" w:rsidP="003D1A5C">
      <w:pPr>
        <w:bidi/>
        <w:spacing w:line="276" w:lineRule="auto"/>
        <w:jc w:val="both"/>
        <w:rPr>
          <w:rFonts w:cs="Traditional Arabic"/>
          <w:b/>
          <w:bCs/>
          <w:color w:val="984806" w:themeColor="accent6" w:themeShade="80"/>
          <w:sz w:val="32"/>
          <w:szCs w:val="32"/>
          <w:lang w:bidi="ar-MA"/>
        </w:rPr>
      </w:pPr>
      <w:r>
        <w:rPr>
          <w:rFonts w:cs="Traditional Arabic" w:hint="cs"/>
          <w:b/>
          <w:bCs/>
          <w:color w:val="984806" w:themeColor="accent6" w:themeShade="80"/>
          <w:sz w:val="32"/>
          <w:szCs w:val="32"/>
          <w:rtl/>
          <w:lang w:bidi="ar-MA"/>
        </w:rPr>
        <w:t xml:space="preserve">  </w:t>
      </w:r>
    </w:p>
    <w:sectPr w:rsidR="006E23E2" w:rsidRPr="006E23E2" w:rsidSect="002E17F8">
      <w:footerReference w:type="default" r:id="rId8"/>
      <w:pgSz w:w="11906" w:h="16838"/>
      <w:pgMar w:top="709" w:right="1417" w:bottom="1417" w:left="1417" w:header="708" w:footer="708" w:gutter="0"/>
      <w:pgBorders w:offsetFrom="page">
        <w:top w:val="single" w:sz="4" w:space="24" w:color="92CDDC" w:themeColor="accent5" w:themeTint="99"/>
        <w:left w:val="single" w:sz="4" w:space="24" w:color="92CDDC" w:themeColor="accent5" w:themeTint="99"/>
        <w:bottom w:val="single" w:sz="4" w:space="24" w:color="92CDDC" w:themeColor="accent5" w:themeTint="99"/>
        <w:right w:val="single" w:sz="4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1F" w:rsidRDefault="000F6D1F" w:rsidP="002E17F8">
      <w:r>
        <w:separator/>
      </w:r>
    </w:p>
  </w:endnote>
  <w:endnote w:type="continuationSeparator" w:id="1">
    <w:p w:rsidR="000F6D1F" w:rsidRDefault="000F6D1F" w:rsidP="002E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735"/>
      <w:docPartObj>
        <w:docPartGallery w:val="Page Numbers (Bottom of Page)"/>
        <w:docPartUnique/>
      </w:docPartObj>
    </w:sdtPr>
    <w:sdtContent>
      <w:p w:rsidR="002E17F8" w:rsidRDefault="00251A45">
        <w:pPr>
          <w:pStyle w:val="Pieddepage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>
                <w:txbxContent>
                  <w:p w:rsidR="002E17F8" w:rsidRDefault="00251A45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4E4181" w:rsidRPr="004E4181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1F" w:rsidRDefault="000F6D1F" w:rsidP="002E17F8">
      <w:r>
        <w:separator/>
      </w:r>
    </w:p>
  </w:footnote>
  <w:footnote w:type="continuationSeparator" w:id="1">
    <w:p w:rsidR="000F6D1F" w:rsidRDefault="000F6D1F" w:rsidP="002E17F8">
      <w:r>
        <w:continuationSeparator/>
      </w:r>
    </w:p>
  </w:footnote>
  <w:footnote w:id="2">
    <w:p w:rsidR="00E55FBF" w:rsidRPr="00150009" w:rsidRDefault="00336987" w:rsidP="00E55FBF">
      <w:pPr>
        <w:pStyle w:val="Notedebasdepage"/>
        <w:rPr>
          <w:lang w:val="en-US" w:bidi="ar-MA"/>
        </w:rPr>
      </w:pPr>
      <w:r>
        <w:rPr>
          <w:rStyle w:val="Appelnotedebasdep"/>
        </w:rPr>
        <w:footnoteRef/>
      </w:r>
      <w:r w:rsidR="00AA4855" w:rsidRPr="00E55FBF">
        <w:rPr>
          <w:lang w:val="en-US"/>
        </w:rPr>
        <w:t>- CATFORD. I</w:t>
      </w:r>
      <w:r w:rsidR="00A66C87" w:rsidRPr="00E55FBF">
        <w:rPr>
          <w:lang w:val="en-US"/>
        </w:rPr>
        <w:t>n</w:t>
      </w:r>
      <w:r w:rsidR="00AA4855" w:rsidRPr="00E55FBF">
        <w:rPr>
          <w:lang w:val="en-US"/>
        </w:rPr>
        <w:t xml:space="preserve"> </w:t>
      </w:r>
      <w:r w:rsidR="00E55FBF" w:rsidRPr="00150009">
        <w:rPr>
          <w:lang w:val="en-US"/>
        </w:rPr>
        <w:t>Basil Hatim and Jeremy Munday</w:t>
      </w:r>
      <w:r w:rsidR="00E55FBF">
        <w:rPr>
          <w:lang w:val="en-US"/>
        </w:rPr>
        <w:t xml:space="preserve">. Translation an </w:t>
      </w:r>
      <w:r w:rsidR="007E1AE3">
        <w:rPr>
          <w:lang w:val="en-US"/>
        </w:rPr>
        <w:t>advanced resource</w:t>
      </w:r>
      <w:r w:rsidR="00E55FBF">
        <w:rPr>
          <w:lang w:val="en-US"/>
        </w:rPr>
        <w:t xml:space="preserve"> book. Routledge. London. 2004. P.27.</w:t>
      </w:r>
    </w:p>
    <w:p w:rsidR="00336987" w:rsidRDefault="00336987" w:rsidP="00A66C87">
      <w:pPr>
        <w:pStyle w:val="Notedebasdepage"/>
        <w:rPr>
          <w:rtl/>
          <w:lang w:bidi="ar-MA"/>
        </w:rPr>
      </w:pPr>
    </w:p>
  </w:footnote>
  <w:footnote w:id="3">
    <w:p w:rsidR="007E1AE3" w:rsidRPr="0052743F" w:rsidRDefault="007E1AE3" w:rsidP="0052743F">
      <w:pPr>
        <w:pStyle w:val="Notedebasdepage"/>
        <w:rPr>
          <w:rtl/>
          <w:lang w:val="en-US" w:bidi="ar-MA"/>
        </w:rPr>
      </w:pPr>
      <w:r>
        <w:rPr>
          <w:rStyle w:val="Appelnotedebasdep"/>
        </w:rPr>
        <w:footnoteRef/>
      </w:r>
      <w:r w:rsidRPr="007E1AE3">
        <w:rPr>
          <w:lang w:val="en-US"/>
        </w:rPr>
        <w:t xml:space="preserve"> - </w:t>
      </w:r>
      <w:r w:rsidRPr="00150009">
        <w:rPr>
          <w:lang w:val="en-US"/>
        </w:rPr>
        <w:t>Basil H</w:t>
      </w:r>
      <w:r>
        <w:rPr>
          <w:lang w:val="en-US"/>
        </w:rPr>
        <w:t>ATIM</w:t>
      </w:r>
      <w:r w:rsidRPr="00150009">
        <w:rPr>
          <w:lang w:val="en-US"/>
        </w:rPr>
        <w:t xml:space="preserve"> and Jeremy </w:t>
      </w:r>
      <w:r>
        <w:rPr>
          <w:lang w:val="en-US"/>
        </w:rPr>
        <w:t>MUNDAY. Translation an advanced resource book. Routledge. London. 2004. P.47.</w:t>
      </w:r>
    </w:p>
  </w:footnote>
  <w:footnote w:id="4">
    <w:p w:rsidR="0052743F" w:rsidRPr="00150009" w:rsidRDefault="0052743F" w:rsidP="0052743F">
      <w:pPr>
        <w:pStyle w:val="Notedebasdepage"/>
        <w:rPr>
          <w:lang w:val="en-US" w:bidi="ar-MA"/>
        </w:rPr>
      </w:pPr>
      <w:r>
        <w:rPr>
          <w:rStyle w:val="Appelnotedebasdep"/>
        </w:rPr>
        <w:footnoteRef/>
      </w:r>
      <w:r w:rsidRPr="0052743F">
        <w:rPr>
          <w:lang w:val="en-US"/>
        </w:rPr>
        <w:t xml:space="preserve"> - W. KOLLER. </w:t>
      </w:r>
      <w:r w:rsidRPr="00E55FBF">
        <w:rPr>
          <w:lang w:val="en-US"/>
        </w:rPr>
        <w:t xml:space="preserve">In </w:t>
      </w:r>
      <w:r w:rsidRPr="00150009">
        <w:rPr>
          <w:lang w:val="en-US"/>
        </w:rPr>
        <w:t>Basil Hatim and Jeremy Munday</w:t>
      </w:r>
      <w:r>
        <w:rPr>
          <w:lang w:val="en-US"/>
        </w:rPr>
        <w:t>. Translation an advanced resource book. Routledge. London. 2004. P.51.</w:t>
      </w:r>
    </w:p>
    <w:p w:rsidR="0052743F" w:rsidRDefault="0052743F">
      <w:pPr>
        <w:pStyle w:val="Notedebasdepage"/>
        <w:rPr>
          <w:rtl/>
          <w:lang w:bidi="ar-MA"/>
        </w:rPr>
      </w:pPr>
      <w:r>
        <w:t xml:space="preserve"> </w:t>
      </w:r>
    </w:p>
  </w:footnote>
  <w:footnote w:id="5">
    <w:p w:rsidR="00C309A8" w:rsidRPr="00C309A8" w:rsidRDefault="00EC5791" w:rsidP="00C309A8">
      <w:pPr>
        <w:pStyle w:val="Notedebasdepage"/>
        <w:rPr>
          <w:rtl/>
          <w:lang w:val="en-US" w:bidi="ar-MA"/>
        </w:rPr>
      </w:pPr>
      <w:r>
        <w:rPr>
          <w:rStyle w:val="Appelnotedebasdep"/>
        </w:rPr>
        <w:footnoteRef/>
      </w:r>
      <w:r w:rsidRPr="00EC5791">
        <w:rPr>
          <w:lang w:val="en-US"/>
        </w:rPr>
        <w:t xml:space="preserve"> </w:t>
      </w:r>
      <w:r w:rsidRPr="008C455C">
        <w:rPr>
          <w:lang w:val="en-US"/>
        </w:rPr>
        <w:t xml:space="preserve">- </w:t>
      </w:r>
      <w:r>
        <w:rPr>
          <w:lang w:val="en-US" w:bidi="ar-MA"/>
        </w:rPr>
        <w:t xml:space="preserve">voir: </w:t>
      </w:r>
      <w:r w:rsidRPr="00A810B4">
        <w:rPr>
          <w:lang w:val="en-US" w:bidi="ar-MA"/>
        </w:rPr>
        <w:t>J. HOUSE. In The</w:t>
      </w:r>
      <w:r w:rsidRPr="004B79B3">
        <w:rPr>
          <w:lang w:val="en-US"/>
        </w:rPr>
        <w:t xml:space="preserve"> </w:t>
      </w:r>
      <w:r>
        <w:rPr>
          <w:lang w:val="en-US"/>
        </w:rPr>
        <w:t xml:space="preserve">Routledge. Compassion to Translation Studies. By Jeremy Munday. Routledge. London. 2009. P. 213. </w:t>
      </w:r>
      <w:r w:rsidRPr="00A810B4">
        <w:rPr>
          <w:lang w:val="en-US" w:bidi="ar-MA"/>
        </w:rPr>
        <w:t xml:space="preserve"> </w:t>
      </w:r>
    </w:p>
  </w:footnote>
  <w:footnote w:id="6">
    <w:p w:rsidR="00C309A8" w:rsidRPr="00C309A8" w:rsidRDefault="00C309A8" w:rsidP="00C309A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C309A8">
        <w:rPr>
          <w:lang w:val="en-US"/>
        </w:rPr>
        <w:t xml:space="preserve"> - voir: </w:t>
      </w:r>
      <w:r w:rsidRPr="00A810B4">
        <w:rPr>
          <w:lang w:val="en-US" w:bidi="ar-MA"/>
        </w:rPr>
        <w:t>J. HOUSE.</w:t>
      </w:r>
      <w:r>
        <w:rPr>
          <w:lang w:val="en-US" w:bidi="ar-MA"/>
        </w:rPr>
        <w:t xml:space="preserve"> Translation Quality Assessment: A model revisited. </w:t>
      </w:r>
      <w:r w:rsidR="002238BA">
        <w:rPr>
          <w:lang w:val="en-US" w:bidi="ar-MA"/>
        </w:rPr>
        <w:t>Gunter Nav Verlag. Germany. 1997. P. 26.</w:t>
      </w:r>
    </w:p>
  </w:footnote>
  <w:footnote w:id="7">
    <w:p w:rsidR="004E4181" w:rsidRPr="004E4181" w:rsidRDefault="004E4181">
      <w:pPr>
        <w:pStyle w:val="Notedebasdepage"/>
        <w:rPr>
          <w:lang w:val="en-US" w:bidi="ar-MA"/>
        </w:rPr>
      </w:pPr>
      <w:r>
        <w:rPr>
          <w:rStyle w:val="Appelnotedebasdep"/>
        </w:rPr>
        <w:footnoteRef/>
      </w:r>
      <w:r w:rsidRPr="004E4181">
        <w:rPr>
          <w:lang w:val="en-US"/>
        </w:rPr>
        <w:t xml:space="preserve"> </w:t>
      </w:r>
      <w:r w:rsidRPr="004E4181">
        <w:rPr>
          <w:lang w:val="en-US" w:bidi="ar-MA"/>
        </w:rPr>
        <w:t>- Mona. BAKER.</w:t>
      </w:r>
      <w:r w:rsidRPr="004E4181">
        <w:rPr>
          <w:rFonts w:cs="Traditional Arabic"/>
          <w:sz w:val="28"/>
          <w:szCs w:val="28"/>
          <w:lang w:val="en-US" w:bidi="ar-MA"/>
        </w:rPr>
        <w:t xml:space="preserve"> </w:t>
      </w:r>
      <w:r w:rsidRPr="004E4181">
        <w:rPr>
          <w:rFonts w:cs="Traditional Arabic"/>
          <w:lang w:val="en-US" w:bidi="ar-MA"/>
        </w:rPr>
        <w:t>In Other Words: A Course Book on Translation</w:t>
      </w:r>
      <w:r>
        <w:rPr>
          <w:lang w:val="en-US" w:bidi="ar-MA"/>
        </w:rPr>
        <w:t>. Routledge. London.1992. P.11.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F89"/>
    <w:multiLevelType w:val="hybridMultilevel"/>
    <w:tmpl w:val="C37AC334"/>
    <w:lvl w:ilvl="0" w:tplc="2CDEC590">
      <w:start w:val="1"/>
      <w:numFmt w:val="arabicAlpha"/>
      <w:lvlText w:val="%1-"/>
      <w:lvlJc w:val="left"/>
      <w:pPr>
        <w:ind w:left="136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606722"/>
    <w:multiLevelType w:val="hybridMultilevel"/>
    <w:tmpl w:val="AE349764"/>
    <w:lvl w:ilvl="0" w:tplc="98D01144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563D61"/>
    <w:multiLevelType w:val="hybridMultilevel"/>
    <w:tmpl w:val="F7867D5E"/>
    <w:lvl w:ilvl="0" w:tplc="040C0009">
      <w:start w:val="1"/>
      <w:numFmt w:val="bullet"/>
      <w:lvlText w:val=""/>
      <w:lvlJc w:val="left"/>
      <w:pPr>
        <w:ind w:left="14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">
    <w:nsid w:val="2C6F58E5"/>
    <w:multiLevelType w:val="hybridMultilevel"/>
    <w:tmpl w:val="1B8AE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152BB"/>
    <w:multiLevelType w:val="hybridMultilevel"/>
    <w:tmpl w:val="3F0CFB2A"/>
    <w:lvl w:ilvl="0" w:tplc="DE6C7780">
      <w:start w:val="1"/>
      <w:numFmt w:val="bullet"/>
      <w:lvlText w:val=""/>
      <w:lvlJc w:val="left"/>
      <w:pPr>
        <w:ind w:left="11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>
    <w:nsid w:val="6C845110"/>
    <w:multiLevelType w:val="hybridMultilevel"/>
    <w:tmpl w:val="480438EA"/>
    <w:lvl w:ilvl="0" w:tplc="B4FA91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480EFB"/>
    <w:multiLevelType w:val="hybridMultilevel"/>
    <w:tmpl w:val="F45E418E"/>
    <w:lvl w:ilvl="0" w:tplc="5174279A">
      <w:start w:val="1"/>
      <w:numFmt w:val="decimal"/>
      <w:lvlText w:val="%1-"/>
      <w:lvlJc w:val="left"/>
      <w:pPr>
        <w:ind w:left="1145" w:hanging="720"/>
      </w:pPr>
      <w:rPr>
        <w:rFonts w:hint="default"/>
        <w:b/>
        <w:bCs/>
        <w:color w:val="984806" w:themeColor="accent6" w:themeShade="8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4558"/>
    <w:rsid w:val="0001156C"/>
    <w:rsid w:val="00014715"/>
    <w:rsid w:val="0001777D"/>
    <w:rsid w:val="00047883"/>
    <w:rsid w:val="00052CD4"/>
    <w:rsid w:val="00056A65"/>
    <w:rsid w:val="00070052"/>
    <w:rsid w:val="00080573"/>
    <w:rsid w:val="00084D6C"/>
    <w:rsid w:val="0009699F"/>
    <w:rsid w:val="000A5409"/>
    <w:rsid w:val="000A5DE1"/>
    <w:rsid w:val="000B553D"/>
    <w:rsid w:val="000B7732"/>
    <w:rsid w:val="000D3602"/>
    <w:rsid w:val="000D68D2"/>
    <w:rsid w:val="000F6D1F"/>
    <w:rsid w:val="001329B2"/>
    <w:rsid w:val="00180122"/>
    <w:rsid w:val="001840B7"/>
    <w:rsid w:val="001B1545"/>
    <w:rsid w:val="001B5A74"/>
    <w:rsid w:val="001C61AF"/>
    <w:rsid w:val="001D79F7"/>
    <w:rsid w:val="001E0AA3"/>
    <w:rsid w:val="001F6004"/>
    <w:rsid w:val="0021463E"/>
    <w:rsid w:val="002238BA"/>
    <w:rsid w:val="00237484"/>
    <w:rsid w:val="0024500C"/>
    <w:rsid w:val="00251A45"/>
    <w:rsid w:val="002753AB"/>
    <w:rsid w:val="00281E61"/>
    <w:rsid w:val="00293831"/>
    <w:rsid w:val="002A4000"/>
    <w:rsid w:val="002B5D5B"/>
    <w:rsid w:val="002C1646"/>
    <w:rsid w:val="002C74E5"/>
    <w:rsid w:val="002E17F8"/>
    <w:rsid w:val="002E713B"/>
    <w:rsid w:val="00301FB5"/>
    <w:rsid w:val="003346BD"/>
    <w:rsid w:val="00336987"/>
    <w:rsid w:val="00366471"/>
    <w:rsid w:val="0037295B"/>
    <w:rsid w:val="00380F2B"/>
    <w:rsid w:val="00386B09"/>
    <w:rsid w:val="003A600B"/>
    <w:rsid w:val="003A6762"/>
    <w:rsid w:val="003D16ED"/>
    <w:rsid w:val="003D1A5C"/>
    <w:rsid w:val="003D6C64"/>
    <w:rsid w:val="003E620F"/>
    <w:rsid w:val="003E63A2"/>
    <w:rsid w:val="003F13C1"/>
    <w:rsid w:val="00403F9E"/>
    <w:rsid w:val="0040568D"/>
    <w:rsid w:val="00425FC6"/>
    <w:rsid w:val="00427530"/>
    <w:rsid w:val="00441749"/>
    <w:rsid w:val="004665D9"/>
    <w:rsid w:val="00487D64"/>
    <w:rsid w:val="004B18D2"/>
    <w:rsid w:val="004B79B3"/>
    <w:rsid w:val="004D1099"/>
    <w:rsid w:val="004E4181"/>
    <w:rsid w:val="004E4C04"/>
    <w:rsid w:val="00522E4C"/>
    <w:rsid w:val="0052743F"/>
    <w:rsid w:val="0054296F"/>
    <w:rsid w:val="00543FB5"/>
    <w:rsid w:val="005511BE"/>
    <w:rsid w:val="0057558C"/>
    <w:rsid w:val="005A49D0"/>
    <w:rsid w:val="005D3702"/>
    <w:rsid w:val="006077AC"/>
    <w:rsid w:val="00625A02"/>
    <w:rsid w:val="00632CFA"/>
    <w:rsid w:val="006459AC"/>
    <w:rsid w:val="00663BFC"/>
    <w:rsid w:val="00664056"/>
    <w:rsid w:val="0067034B"/>
    <w:rsid w:val="00670D01"/>
    <w:rsid w:val="00695137"/>
    <w:rsid w:val="006C4AB8"/>
    <w:rsid w:val="006C6222"/>
    <w:rsid w:val="006D5D8E"/>
    <w:rsid w:val="006E23E2"/>
    <w:rsid w:val="006E38AB"/>
    <w:rsid w:val="00713C42"/>
    <w:rsid w:val="00725E9C"/>
    <w:rsid w:val="00731A2D"/>
    <w:rsid w:val="00751D7C"/>
    <w:rsid w:val="00762D96"/>
    <w:rsid w:val="007732AB"/>
    <w:rsid w:val="007D767D"/>
    <w:rsid w:val="007E1AE3"/>
    <w:rsid w:val="008014E2"/>
    <w:rsid w:val="00804977"/>
    <w:rsid w:val="00840E89"/>
    <w:rsid w:val="00844256"/>
    <w:rsid w:val="00892885"/>
    <w:rsid w:val="00892B30"/>
    <w:rsid w:val="008968B7"/>
    <w:rsid w:val="008C455C"/>
    <w:rsid w:val="008C4EA1"/>
    <w:rsid w:val="008E7E31"/>
    <w:rsid w:val="008F5822"/>
    <w:rsid w:val="0090130D"/>
    <w:rsid w:val="00903FFD"/>
    <w:rsid w:val="0096552F"/>
    <w:rsid w:val="00977F6F"/>
    <w:rsid w:val="009815A0"/>
    <w:rsid w:val="00986F51"/>
    <w:rsid w:val="009972D1"/>
    <w:rsid w:val="009A6AC7"/>
    <w:rsid w:val="009C2441"/>
    <w:rsid w:val="00A2265A"/>
    <w:rsid w:val="00A41BB7"/>
    <w:rsid w:val="00A54458"/>
    <w:rsid w:val="00A66C87"/>
    <w:rsid w:val="00A72016"/>
    <w:rsid w:val="00A810B4"/>
    <w:rsid w:val="00A95C48"/>
    <w:rsid w:val="00A9699C"/>
    <w:rsid w:val="00AA4855"/>
    <w:rsid w:val="00AB02D0"/>
    <w:rsid w:val="00AB7AAC"/>
    <w:rsid w:val="00AE5E0F"/>
    <w:rsid w:val="00AF0799"/>
    <w:rsid w:val="00AF392A"/>
    <w:rsid w:val="00AF6546"/>
    <w:rsid w:val="00B2669E"/>
    <w:rsid w:val="00B96D22"/>
    <w:rsid w:val="00BA5E1D"/>
    <w:rsid w:val="00C13FC2"/>
    <w:rsid w:val="00C20479"/>
    <w:rsid w:val="00C309A8"/>
    <w:rsid w:val="00C323B0"/>
    <w:rsid w:val="00C7585D"/>
    <w:rsid w:val="00CB620C"/>
    <w:rsid w:val="00CB7889"/>
    <w:rsid w:val="00CC247E"/>
    <w:rsid w:val="00CE0A53"/>
    <w:rsid w:val="00D00BB1"/>
    <w:rsid w:val="00D1704D"/>
    <w:rsid w:val="00D170CA"/>
    <w:rsid w:val="00D22A20"/>
    <w:rsid w:val="00D34558"/>
    <w:rsid w:val="00D363A0"/>
    <w:rsid w:val="00D77CF2"/>
    <w:rsid w:val="00D82B79"/>
    <w:rsid w:val="00DB0F7D"/>
    <w:rsid w:val="00DD1683"/>
    <w:rsid w:val="00DE2383"/>
    <w:rsid w:val="00DF53D5"/>
    <w:rsid w:val="00E03EF7"/>
    <w:rsid w:val="00E22CD6"/>
    <w:rsid w:val="00E55FBF"/>
    <w:rsid w:val="00E56BF3"/>
    <w:rsid w:val="00EA02F4"/>
    <w:rsid w:val="00EC5791"/>
    <w:rsid w:val="00EE56B5"/>
    <w:rsid w:val="00F25A17"/>
    <w:rsid w:val="00F26189"/>
    <w:rsid w:val="00F32732"/>
    <w:rsid w:val="00F4587D"/>
    <w:rsid w:val="00F66738"/>
    <w:rsid w:val="00FB0974"/>
    <w:rsid w:val="00FC5637"/>
    <w:rsid w:val="00FC588B"/>
    <w:rsid w:val="00FC5919"/>
    <w:rsid w:val="00FE0452"/>
    <w:rsid w:val="00FF750D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line="480" w:lineRule="auto"/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58"/>
    <w:pPr>
      <w:spacing w:line="240" w:lineRule="auto"/>
      <w:ind w:left="0"/>
      <w:jc w:val="left"/>
    </w:pPr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558"/>
    <w:pPr>
      <w:spacing w:line="480" w:lineRule="auto"/>
      <w:ind w:left="720"/>
      <w:contextualSpacing/>
      <w:jc w:val="both"/>
    </w:pPr>
    <w:rPr>
      <w:rFonts w:eastAsia="Calibri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2E17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E17F8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E17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17F8"/>
    <w:rPr>
      <w:rFonts w:eastAsia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3369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36987"/>
    <w:rPr>
      <w:rFonts w:eastAsia="Times New Roman"/>
      <w:lang w:eastAsia="fr-FR"/>
    </w:rPr>
  </w:style>
  <w:style w:type="character" w:styleId="Appelnotedebasdep">
    <w:name w:val="footnote reference"/>
    <w:basedOn w:val="Policepardfaut"/>
    <w:semiHidden/>
    <w:rsid w:val="003369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3960-0DC2-429E-948E-577527F4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944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138</cp:revision>
  <dcterms:created xsi:type="dcterms:W3CDTF">2020-01-12T12:58:00Z</dcterms:created>
  <dcterms:modified xsi:type="dcterms:W3CDTF">2020-04-01T16:10:00Z</dcterms:modified>
</cp:coreProperties>
</file>